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7087" w:vertAnchor="page" w:tblpY="1471" w:leftFromText="180" w:topFromText="0" w:rightFromText="180" w:bottomFromText="0"/>
        <w:tblW w:w="4077" w:type="dxa"/>
        <w:tblLayout w:type="fixed"/>
        <w:tblLook w:val="04A0" w:firstRow="1" w:lastRow="0" w:firstColumn="1" w:lastColumn="0" w:noHBand="0" w:noVBand="1"/>
      </w:tblPr>
      <w:tblGrid>
        <w:gridCol w:w="4077"/>
      </w:tblGrid>
      <w:tr>
        <w:tblPrEx/>
        <w:trPr>
          <w:trHeight w:val="1134"/>
        </w:trPr>
        <w:tc>
          <w:tcPr>
            <w:tcW w:w="4077" w:type="dxa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«УТВЕРЖДЕНО»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center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На заседании закупочной комиссии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center"/>
              <w:spacing w:after="0"/>
              <w:rPr>
                <w:color w:val="000000"/>
                <w:highlight w:val="none"/>
              </w:rPr>
            </w:pPr>
            <w:r>
              <w:rPr>
                <w:color w:val="000000"/>
              </w:rPr>
              <w:t xml:space="preserve">«02</w:t>
            </w:r>
            <w:r>
              <w:rPr>
                <w:color w:val="000000"/>
              </w:rPr>
              <w:t xml:space="preserve">» июня 2026 г.</w:t>
            </w:r>
            <w:r>
              <w:rPr>
                <w:color w:val="000000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jc w:val="center"/>
              <w:spacing w:after="0"/>
              <w:rPr>
                <w:color w:val="000000"/>
              </w:rPr>
            </w:pPr>
            <w:r>
              <w:rPr>
                <w:color w:val="000000"/>
                <w:highlight w:val="none"/>
              </w:rPr>
              <w:t xml:space="preserve">(в ред. от 22.06.2026 г.)</w:t>
            </w:r>
            <w:r>
              <w:rPr>
                <w:color w:val="000000"/>
                <w:highlight w:val="none"/>
              </w:rPr>
            </w:r>
          </w:p>
        </w:tc>
      </w:tr>
    </w:tbl>
    <w:p>
      <w:pPr>
        <w:pStyle w:val="1478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78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78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78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78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78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78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78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78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78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78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78"/>
        <w:ind w:left="0" w:right="0" w:firstLine="0"/>
        <w:jc w:val="left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78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78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78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78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О ЗАКУПКЕ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КОНКУРС В ЭЛЕКТРОННОЙ ФОРМЕ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</w:pPr>
      <w:r>
        <w:t xml:space="preserve">на </w:t>
      </w:r>
      <w:r>
        <w:t xml:space="preserve">право заключения рамочного договора на </w:t>
      </w:r>
      <w:r>
        <w:t xml:space="preserve">выполнение работ, направленных на исполнение обязательств по объектам технологического присоединения к электрическим сетям  АО «Россети Янтарь» (Лот № 1.1.17р)</w:t>
      </w:r>
      <w:r/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left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left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338"/>
        <w:jc w:val="center"/>
        <w:spacing w:after="0"/>
        <w:rPr>
          <w:b/>
          <w:bCs/>
        </w:rPr>
      </w:pPr>
      <w:r>
        <w:rPr>
          <w:b/>
          <w:bCs/>
        </w:rPr>
        <w:t xml:space="preserve">г. </w:t>
      </w:r>
      <w:r>
        <w:rPr>
          <w:b/>
        </w:rPr>
        <w:t xml:space="preserve">Калининград</w:t>
      </w:r>
      <w:r>
        <w:rPr>
          <w:bCs/>
        </w:rPr>
        <w:br/>
      </w:r>
      <w:r>
        <w:rPr>
          <w:b/>
          <w:bCs/>
        </w:rPr>
        <w:t xml:space="preserve">2026 год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1144"/>
        <w:ind w:left="567" w:firstLine="0"/>
        <w:keepNext w:val="0"/>
        <w:spacing w:before="0" w:after="0"/>
        <w:tabs>
          <w:tab w:val="clear" w:pos="432" w:leader="none"/>
        </w:tabs>
        <w:rPr>
          <w:rStyle w:val="1315"/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/>
      <w:bookmarkStart w:id="0" w:name="_Toc1"/>
      <w:r>
        <w:rPr>
          <w:rStyle w:val="1315"/>
          <w:rFonts w:ascii="Times New Roman" w:hAnsi="Times New Roman" w:cs="Times New Roman"/>
          <w:caps/>
          <w:color w:val="auto"/>
          <w:sz w:val="24"/>
          <w:szCs w:val="24"/>
        </w:rPr>
        <w:t xml:space="preserve">СОДЕРЖАНИЕ</w:t>
      </w:r>
      <w:bookmarkEnd w:id="0"/>
      <w:r>
        <w:rPr>
          <w:rStyle w:val="1315"/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Style w:val="1315"/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p>
      <w:pPr>
        <w:ind w:firstLine="567"/>
        <w:jc w:val="left"/>
        <w:keepLines/>
        <w:keepNext/>
        <w:spacing w:after="0"/>
        <w:widowControl w:val="off"/>
        <w:suppressLineNumbers/>
      </w:pPr>
      <w:r/>
      <w:r/>
    </w:p>
    <w:p>
      <w:pPr>
        <w:pStyle w:val="1334"/>
        <w:rPr>
          <w:rStyle w:val="1315"/>
          <w:rFonts w:ascii="Times New Roman" w:hAnsi="Times New Roman" w:cs="Times New Roman"/>
        </w:rPr>
      </w:pPr>
      <w:r>
        <w:rPr>
          <w:i/>
          <w:iCs/>
          <w:smallCaps/>
          <w:sz w:val="24"/>
          <w:szCs w:val="24"/>
        </w:rPr>
        <w:fldChar w:fldCharType="begin"/>
      </w:r>
      <w:r>
        <w:rPr>
          <w:i/>
          <w:iCs/>
          <w:smallCaps/>
          <w:sz w:val="24"/>
          <w:szCs w:val="24"/>
        </w:rPr>
        <w:instrText xml:space="preserve"> TOC \o "1-2" \h \z \u </w:instrText>
      </w:r>
      <w:r>
        <w:rPr>
          <w:i/>
          <w:iCs/>
          <w:smallCaps/>
          <w:sz w:val="24"/>
          <w:szCs w:val="24"/>
        </w:rPr>
        <w:fldChar w:fldCharType="separate"/>
      </w:r>
      <w:hyperlink w:tooltip="#_Toc1" w:anchor="_Toc1" w:history="1">
        <w:r>
          <w:rPr>
            <w:rStyle w:val="1364"/>
          </w:rPr>
          <w:t xml:space="preserve">СОДЕРЖАНИЕ</w:t>
        </w:r>
        <w:r>
          <w:tab/>
        </w:r>
        <w:r>
          <w:fldChar w:fldCharType="begin"/>
        </w:r>
        <w:r>
          <w:instrText xml:space="preserve">PAGEREF _Toc1 \h</w:instrText>
        </w:r>
        <w:r>
          <w:fldChar w:fldCharType="separate"/>
        </w:r>
        <w:r>
          <w:t xml:space="preserve">2</w:t>
        </w:r>
        <w:r>
          <w:fldChar w:fldCharType="end"/>
        </w:r>
      </w:hyperlink>
      <w:r>
        <w:rPr>
          <w:rStyle w:val="1315"/>
          <w:rFonts w:ascii="Times New Roman" w:hAnsi="Times New Roman" w:cs="Times New Roman"/>
        </w:rPr>
      </w:r>
      <w:r>
        <w:rPr>
          <w:rStyle w:val="1315"/>
          <w:rFonts w:ascii="Times New Roman" w:hAnsi="Times New Roman" w:cs="Times New Roman"/>
        </w:rPr>
      </w:r>
    </w:p>
    <w:p>
      <w:pPr>
        <w:pStyle w:val="1334"/>
        <w:tabs>
          <w:tab w:val="left" w:pos="567" w:leader="none"/>
        </w:tabs>
        <w:rPr>
          <w:rStyle w:val="1315"/>
        </w:rPr>
      </w:pPr>
      <w:r/>
      <w:hyperlink w:tooltip="#_Toc2" w:anchor="_Toc2" w:history="1">
        <w:r>
          <w:t xml:space="preserve">I.</w:t>
        </w:r>
        <w:r>
          <w:tab/>
        </w:r>
        <w:r>
          <w:rPr>
            <w:rStyle w:val="1364"/>
          </w:rPr>
          <w:t xml:space="preserve">ОБЩИЕ УСЛОВИЯ ПРОВЕДЕНИЯ ЗАКУПКИ</w:t>
        </w:r>
        <w:r>
          <w:tab/>
        </w:r>
        <w:r>
          <w:fldChar w:fldCharType="begin"/>
        </w:r>
        <w:r>
          <w:instrText xml:space="preserve">PAGEREF _Toc2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Style w:val="1315"/>
        </w:rPr>
      </w:r>
      <w:r>
        <w:rPr>
          <w:rStyle w:val="1315"/>
        </w:rPr>
      </w:r>
    </w:p>
    <w:p>
      <w:pPr>
        <w:pStyle w:val="1334"/>
        <w:tabs>
          <w:tab w:val="left" w:pos="567" w:leader="none"/>
        </w:tabs>
      </w:pPr>
      <w:r/>
      <w:hyperlink w:tooltip="#_Toc3" w:anchor="_Toc3" w:history="1">
        <w:r>
          <w:t xml:space="preserve">1.</w:t>
        </w:r>
        <w:r>
          <w:tab/>
        </w:r>
        <w:r>
          <w:rPr>
            <w:rStyle w:val="1364"/>
          </w:rPr>
          <w:t xml:space="preserve">ОБЩИЕ ПОЛ</w:t>
        </w:r>
        <w:r>
          <w:rPr>
            <w:rStyle w:val="1364"/>
          </w:rPr>
          <w:t xml:space="preserve">ОЖЕНИЯ</w:t>
        </w:r>
        <w:r>
          <w:tab/>
        </w:r>
        <w:r>
          <w:fldChar w:fldCharType="begin"/>
        </w:r>
        <w:r>
          <w:instrText xml:space="preserve">PAGEREF _Toc3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4" w:anchor="_Toc4" w:history="1">
        <w:r>
          <w:t xml:space="preserve">1.1.</w:t>
        </w:r>
        <w:r>
          <w:tab/>
        </w:r>
        <w:r>
          <w:rPr>
            <w:rStyle w:val="1364"/>
          </w:rPr>
          <w:t xml:space="preserve">Правовой статус документов</w:t>
        </w:r>
        <w:r>
          <w:tab/>
        </w:r>
        <w:r>
          <w:fldChar w:fldCharType="begin"/>
        </w:r>
        <w:r>
          <w:instrText xml:space="preserve">PAGEREF _Toc4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5" w:anchor="_Toc5" w:history="1">
        <w:r>
          <w:t xml:space="preserve">1.2.</w:t>
        </w:r>
        <w:r>
          <w:tab/>
        </w:r>
        <w:r>
          <w:rPr>
            <w:rStyle w:val="1364"/>
          </w:rPr>
          <w:t xml:space="preserve">Заказчик, предмет и условия проведения закупки.</w:t>
        </w:r>
        <w:r>
          <w:tab/>
        </w:r>
        <w:r>
          <w:fldChar w:fldCharType="begin"/>
        </w:r>
        <w:r>
          <w:instrText xml:space="preserve">PAGEREF _Toc5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6" w:anchor="_Toc6" w:history="1">
        <w:r>
          <w:t xml:space="preserve">1.3.</w:t>
        </w:r>
        <w:r>
          <w:tab/>
        </w:r>
        <w:r>
          <w:rPr>
            <w:rStyle w:val="1364"/>
          </w:rPr>
          <w:t xml:space="preserve">Начальная (максимальная) цена договора (цена лота) </w:t>
        </w:r>
        <w:r>
          <w:tab/>
        </w:r>
        <w:r>
          <w:fldChar w:fldCharType="begin"/>
        </w:r>
        <w:r>
          <w:instrText xml:space="preserve">PAGEREF _Toc6 \h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7" w:anchor="_Toc7" w:history="1">
        <w:r>
          <w:t xml:space="preserve">1.4.</w:t>
        </w:r>
        <w:r>
          <w:tab/>
        </w:r>
        <w:r>
          <w:rPr>
            <w:rStyle w:val="1364"/>
          </w:rPr>
          <w:t xml:space="preserve">Требования к участникам закупки</w:t>
        </w:r>
        <w:r>
          <w:tab/>
        </w:r>
        <w:r>
          <w:fldChar w:fldCharType="begin"/>
        </w:r>
        <w:r>
          <w:instrText xml:space="preserve">PAGEREF _Toc7 \h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8" w:anchor="_Toc8" w:history="1">
        <w:r>
          <w:t xml:space="preserve">1.5.</w:t>
        </w:r>
        <w:r>
          <w:tab/>
        </w:r>
        <w:r>
          <w:rPr>
            <w:rStyle w:val="1364"/>
          </w:rPr>
          <w:t xml:space="preserve">Привлечение соисполнителей (субподрядчиков) к исполнению договора</w:t>
        </w:r>
        <w:r>
          <w:tab/>
        </w:r>
        <w:r>
          <w:fldChar w:fldCharType="begin"/>
        </w:r>
        <w:r>
          <w:instrText xml:space="preserve">PAGEREF _Toc8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9" w:anchor="_Toc9" w:history="1">
        <w:r>
          <w:t xml:space="preserve">1.6.</w:t>
        </w:r>
        <w:r>
          <w:tab/>
        </w:r>
        <w:r>
          <w:rPr>
            <w:rStyle w:val="1364"/>
          </w:rPr>
          <w:t xml:space="preserve">Расходы на участие в закупке и при заключении договора</w:t>
        </w:r>
        <w:r>
          <w:tab/>
        </w:r>
        <w:r>
          <w:fldChar w:fldCharType="begin"/>
        </w:r>
        <w:r>
          <w:instrText xml:space="preserve">PAGEREF _Toc9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10" w:anchor="_Toc10" w:history="1">
        <w:r>
          <w:t xml:space="preserve">1.7.</w:t>
        </w:r>
        <w:r>
          <w:tab/>
        </w:r>
        <w:r>
          <w:rPr>
            <w:rStyle w:val="1364"/>
          </w:rPr>
          <w:t xml:space="preserve">Предоставление национального режима при осуществлении закупок товаров, работ, услуг для обеспечения государственных и муниципальных нужд, закупок товар</w:t>
        </w:r>
        <w:r>
          <w:rPr>
            <w:rStyle w:val="1364"/>
          </w:rPr>
          <w:t xml:space="preserve">ов, работ, услуг отдельными видами юридических лиц</w:t>
        </w:r>
        <w:r>
          <w:tab/>
        </w:r>
        <w:r>
          <w:fldChar w:fldCharType="begin"/>
        </w:r>
        <w:r>
          <w:instrText xml:space="preserve">PAGEREF _Toc10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11" w:anchor="_Toc11" w:history="1">
        <w:r>
          <w:t xml:space="preserve">1.8.</w:t>
        </w:r>
        <w:r>
          <w:tab/>
        </w:r>
        <w:r>
          <w:rPr>
            <w:rStyle w:val="1364"/>
          </w:rPr>
          <w:t xml:space="preserve">Антимонопольная оговорка</w:t>
        </w:r>
        <w:r>
          <w:tab/>
        </w:r>
        <w:r>
          <w:fldChar w:fldCharType="begin"/>
        </w:r>
        <w:r>
          <w:instrText xml:space="preserve">PAGEREF _Toc11 \h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/>
      <w:r/>
    </w:p>
    <w:p>
      <w:pPr>
        <w:pStyle w:val="1334"/>
        <w:tabs>
          <w:tab w:val="left" w:pos="567" w:leader="none"/>
        </w:tabs>
      </w:pPr>
      <w:r/>
      <w:hyperlink w:tooltip="#_Toc12" w:anchor="_Toc12" w:history="1">
        <w:r>
          <w:t xml:space="preserve">2.</w:t>
        </w:r>
        <w:r>
          <w:tab/>
        </w:r>
        <w:r>
          <w:rPr>
            <w:rStyle w:val="1364"/>
          </w:rPr>
          <w:t xml:space="preserve">ДОКУМЕНТАЦИЯ О ЗАКУПКЕ</w:t>
        </w:r>
        <w:r>
          <w:tab/>
        </w:r>
        <w:r>
          <w:fldChar w:fldCharType="begin"/>
        </w:r>
        <w:r>
          <w:instrText xml:space="preserve">PAGEREF _Toc12 \h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13" w:anchor="_Toc13" w:history="1">
        <w:r>
          <w:t xml:space="preserve">2.1.</w:t>
        </w:r>
        <w:r>
          <w:tab/>
        </w:r>
        <w:r>
          <w:rPr>
            <w:rStyle w:val="1364"/>
          </w:rPr>
          <w:t xml:space="preserve">Предоставление документации о закупке</w:t>
        </w:r>
        <w:r>
          <w:tab/>
        </w:r>
        <w:r>
          <w:fldChar w:fldCharType="begin"/>
        </w:r>
        <w:r>
          <w:instrText xml:space="preserve">PAGEREF </w:instrText>
        </w:r>
        <w:r>
          <w:instrText xml:space="preserve">_Toc13 \h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14" w:anchor="_Toc14" w:history="1">
        <w:r>
          <w:t xml:space="preserve">2.2.</w:t>
        </w:r>
        <w:r>
          <w:tab/>
        </w:r>
        <w:r>
          <w:rPr>
            <w:rStyle w:val="1364"/>
          </w:rPr>
          <w:t xml:space="preserve">Разъяснение положений документации о закупке</w:t>
        </w:r>
        <w:r>
          <w:tab/>
        </w:r>
        <w:r>
          <w:fldChar w:fldCharType="begin"/>
        </w:r>
        <w:r>
          <w:instrText xml:space="preserve">PAGEREF _Toc14 \h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15" w:anchor="_Toc15" w:history="1">
        <w:r>
          <w:t xml:space="preserve">2.3.</w:t>
        </w:r>
        <w:r>
          <w:tab/>
        </w:r>
        <w:r>
          <w:rPr>
            <w:rStyle w:val="1364"/>
          </w:rPr>
          <w:t xml:space="preserve">Внесение изменений в извещение о закупке и/или документацию о закупке</w:t>
        </w:r>
        <w:r>
          <w:tab/>
        </w:r>
        <w:r>
          <w:fldChar w:fldCharType="begin"/>
        </w:r>
        <w:r>
          <w:instrText xml:space="preserve">PAGEREF _Toc15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16" w:anchor="_Toc16" w:history="1">
        <w:r>
          <w:t xml:space="preserve">2.4.</w:t>
        </w:r>
        <w:r>
          <w:tab/>
        </w:r>
        <w:r>
          <w:rPr>
            <w:rStyle w:val="1364"/>
          </w:rPr>
          <w:t xml:space="preserve">Отмена закупки</w:t>
        </w:r>
        <w:r>
          <w:tab/>
        </w:r>
        <w:r>
          <w:fldChar w:fldCharType="begin"/>
        </w:r>
        <w:r>
          <w:instrText xml:space="preserve">PAGER</w:instrText>
        </w:r>
        <w:r>
          <w:instrText xml:space="preserve">EF _Toc16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1334"/>
        <w:tabs>
          <w:tab w:val="left" w:pos="567" w:leader="none"/>
        </w:tabs>
      </w:pPr>
      <w:r/>
      <w:hyperlink w:tooltip="#_Toc17" w:anchor="_Toc17" w:history="1">
        <w:r>
          <w:t xml:space="preserve">3.</w:t>
        </w:r>
        <w:r>
          <w:tab/>
        </w:r>
        <w:r>
          <w:rPr>
            <w:rStyle w:val="1364"/>
          </w:rPr>
          <w:t xml:space="preserve">ТРЕБОВАНИЯ К СОДЕРЖАНИЮ ЗАЯВКИ НА УЧАСТИЕ В ЗАКУПКЕ</w:t>
        </w:r>
        <w:r>
          <w:tab/>
        </w:r>
        <w:r>
          <w:fldChar w:fldCharType="begin"/>
        </w:r>
        <w:r>
          <w:instrText xml:space="preserve">PAGEREF _Toc17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18" w:anchor="_Toc18" w:history="1">
        <w:r>
          <w:t xml:space="preserve">3.1.</w:t>
        </w:r>
        <w:r>
          <w:tab/>
        </w:r>
        <w:r>
          <w:rPr>
            <w:rStyle w:val="1364"/>
          </w:rPr>
          <w:t xml:space="preserve">Требования к оформлению заявки на участие в закупке</w:t>
        </w:r>
        <w:r>
          <w:tab/>
        </w:r>
        <w:r>
          <w:fldChar w:fldCharType="begin"/>
        </w:r>
        <w:r>
          <w:instrText xml:space="preserve">PAGEREF _Toc18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19" w:anchor="_Toc19" w:history="1">
        <w:r>
          <w:t xml:space="preserve">3.2.</w:t>
        </w:r>
        <w:r>
          <w:tab/>
        </w:r>
        <w:r>
          <w:rPr>
            <w:rStyle w:val="1364"/>
          </w:rPr>
          <w:t xml:space="preserve">Язык документов, входящих в состав заявки на</w:t>
        </w:r>
        <w:r>
          <w:rPr>
            <w:rStyle w:val="1364"/>
          </w:rPr>
          <w:t xml:space="preserve"> участие в закупке</w:t>
        </w:r>
        <w:r>
          <w:tab/>
        </w:r>
        <w:r>
          <w:fldChar w:fldCharType="begin"/>
        </w:r>
        <w:r>
          <w:instrText xml:space="preserve">PAGEREF _Toc19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20" w:anchor="_Toc20" w:history="1">
        <w:r>
          <w:t xml:space="preserve">3.3.</w:t>
        </w:r>
        <w:r>
          <w:tab/>
        </w:r>
        <w:r>
          <w:rPr>
            <w:rStyle w:val="1364"/>
          </w:rPr>
          <w:t xml:space="preserve">Требования к валюте заявки</w:t>
        </w:r>
        <w:r>
          <w:tab/>
        </w:r>
        <w:r>
          <w:fldChar w:fldCharType="begin"/>
        </w:r>
        <w:r>
          <w:instrText xml:space="preserve">PAGEREF _Toc20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21" w:anchor="_Toc21" w:history="1">
        <w:r>
          <w:t xml:space="preserve">3.4.</w:t>
        </w:r>
        <w:r>
          <w:tab/>
        </w:r>
        <w:r>
          <w:rPr>
            <w:rStyle w:val="1364"/>
          </w:rPr>
          <w:t xml:space="preserve">Требования к составу заявки на участие в закупке</w:t>
        </w:r>
        <w:r>
          <w:tab/>
        </w:r>
        <w:r>
          <w:fldChar w:fldCharType="begin"/>
        </w:r>
        <w:r>
          <w:instrText xml:space="preserve">PAGEREF _Toc21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22" w:anchor="_Toc22" w:history="1">
        <w:r>
          <w:t xml:space="preserve">3.5.</w:t>
        </w:r>
        <w:r>
          <w:tab/>
        </w:r>
        <w:r>
          <w:rPr>
            <w:rStyle w:val="1364"/>
          </w:rPr>
          <w:t xml:space="preserve">Требования к описанию предложения участника закупки</w:t>
        </w:r>
        <w:r>
          <w:tab/>
        </w:r>
        <w:r>
          <w:fldChar w:fldCharType="begin"/>
        </w:r>
        <w:r>
          <w:instrText xml:space="preserve">PAGEREF _Toc22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23" w:anchor="_Toc23" w:history="1">
        <w:r>
          <w:t xml:space="preserve">3.6.</w:t>
        </w:r>
        <w:r>
          <w:tab/>
        </w:r>
        <w:r>
          <w:rPr>
            <w:rStyle w:val="1364"/>
          </w:rPr>
          <w:t xml:space="preserve">Требования к обеспечению заявок на участие в закупке</w:t>
        </w:r>
        <w:r>
          <w:tab/>
        </w:r>
        <w:r>
          <w:fldChar w:fldCharType="begin"/>
        </w:r>
        <w:r>
          <w:instrText xml:space="preserve">PAGEREF _Toc23 \h</w:instrText>
        </w:r>
        <w:r>
          <w:fldChar w:fldCharType="separate"/>
        </w:r>
        <w:r>
          <w:t xml:space="preserve">11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24" w:anchor="_Toc24" w:history="1">
        <w:r>
          <w:t xml:space="preserve">3.7.</w:t>
        </w:r>
        <w:r>
          <w:tab/>
        </w:r>
        <w:r>
          <w:rPr>
            <w:rStyle w:val="1364"/>
          </w:rPr>
          <w:t xml:space="preserve">Порядок действий, осуществляемых Заказчиком в ходе проведения закупки, в случае предложения участником закупки аномально низкой цены </w:t>
        </w:r>
        <w:r>
          <w:tab/>
        </w:r>
        <w:r>
          <w:fldChar w:fldCharType="begin"/>
        </w:r>
        <w:r>
          <w:instrText xml:space="preserve">PAGEREF _Toc24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1334"/>
        <w:tabs>
          <w:tab w:val="left" w:pos="567" w:leader="none"/>
        </w:tabs>
      </w:pPr>
      <w:r/>
      <w:hyperlink w:tooltip="#_Toc25" w:anchor="_Toc25" w:history="1">
        <w:r>
          <w:t xml:space="preserve">4.</w:t>
        </w:r>
        <w:r>
          <w:tab/>
        </w:r>
        <w:r>
          <w:rPr>
            <w:rStyle w:val="1364"/>
          </w:rPr>
          <w:t xml:space="preserve">ПОДАЧА ЗАЯВОК НА УЧАСТИЕ В ЗАКУПКЕ</w:t>
        </w:r>
        <w:r>
          <w:tab/>
        </w:r>
        <w:r>
          <w:fldChar w:fldCharType="begin"/>
        </w:r>
        <w:r>
          <w:instrText xml:space="preserve">PAGEREF _Toc25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26" w:anchor="_Toc26" w:history="1">
        <w:r>
          <w:t xml:space="preserve">4.1</w:t>
        </w:r>
        <w:r>
          <w:t xml:space="preserve">.</w:t>
        </w:r>
        <w:r>
          <w:tab/>
        </w:r>
        <w:r>
          <w:rPr>
            <w:rStyle w:val="1364"/>
          </w:rPr>
          <w:t xml:space="preserve">Порядок, место, дата начала и дата окончания срока подачи заявок на участие в закупке</w:t>
        </w:r>
        <w:r>
          <w:tab/>
        </w:r>
        <w:r>
          <w:fldChar w:fldCharType="begin"/>
        </w:r>
        <w:r>
          <w:instrText xml:space="preserve">PAGEREF _Toc26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27" w:anchor="_Toc27" w:history="1">
        <w:r>
          <w:t xml:space="preserve">4.2.</w:t>
        </w:r>
        <w:r>
          <w:tab/>
        </w:r>
        <w:r>
          <w:rPr>
            <w:rStyle w:val="1364"/>
          </w:rPr>
          <w:t xml:space="preserve">Изменения и отзыв заявок на участие в закупк</w:t>
        </w:r>
        <w:r>
          <w:rPr>
            <w:rStyle w:val="1364"/>
          </w:rPr>
          <w:t xml:space="preserve">е</w:t>
        </w:r>
        <w:r>
          <w:tab/>
        </w:r>
        <w:r>
          <w:fldChar w:fldCharType="begin"/>
        </w:r>
        <w:r>
          <w:instrText xml:space="preserve">PAGEREF _Toc27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1334"/>
        <w:tabs>
          <w:tab w:val="left" w:pos="567" w:leader="none"/>
        </w:tabs>
      </w:pPr>
      <w:r/>
      <w:hyperlink w:tooltip="#_Toc28" w:anchor="_Toc28" w:history="1">
        <w:r>
          <w:t xml:space="preserve">5.</w:t>
        </w:r>
        <w:r>
          <w:tab/>
        </w:r>
        <w:r>
          <w:rPr>
            <w:rStyle w:val="1364"/>
          </w:rPr>
          <w:t xml:space="preserve">ПОРЯДОК ПРОВЕДЕНИЯ ЗАКУПКИ</w:t>
        </w:r>
        <w:r>
          <w:tab/>
        </w:r>
        <w:r>
          <w:fldChar w:fldCharType="begin"/>
        </w:r>
        <w:r>
          <w:instrText xml:space="preserve">PAGEREF _Toc28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29" w:anchor="_Toc29" w:history="1">
        <w:r>
          <w:t xml:space="preserve">5.1.</w:t>
        </w:r>
        <w:r>
          <w:tab/>
        </w:r>
        <w:r>
          <w:rPr>
            <w:rStyle w:val="1364"/>
          </w:rPr>
          <w:t xml:space="preserve">Закупочная комиссия</w:t>
        </w:r>
        <w:r>
          <w:tab/>
        </w:r>
        <w:r>
          <w:fldChar w:fldCharType="begin"/>
        </w:r>
        <w:r>
          <w:instrText xml:space="preserve">PAGEREF _Toc29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30" w:anchor="_Toc30" w:history="1">
        <w:r>
          <w:t xml:space="preserve">5.2.</w:t>
        </w:r>
        <w:r>
          <w:tab/>
        </w:r>
        <w:r>
          <w:rPr>
            <w:rStyle w:val="1364"/>
          </w:rPr>
          <w:t xml:space="preserve">Требования к процедуре рассмотрения, оценки и сопоставления заявок уча</w:t>
        </w:r>
        <w:r>
          <w:rPr>
            <w:rStyle w:val="1364"/>
          </w:rPr>
          <w:t xml:space="preserve">стников закупки</w:t>
        </w:r>
        <w:r>
          <w:tab/>
        </w:r>
        <w:r>
          <w:fldChar w:fldCharType="begin"/>
        </w:r>
        <w:r>
          <w:instrText xml:space="preserve">PAGEREF _Toc30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31" w:anchor="_Toc31" w:history="1">
        <w:r>
          <w:t xml:space="preserve">5.3.</w:t>
        </w:r>
        <w:r>
          <w:tab/>
        </w:r>
        <w:r>
          <w:rPr>
            <w:rStyle w:val="1364"/>
          </w:rPr>
          <w:t xml:space="preserve">Критерии оценки заявок участников закупки</w:t>
        </w:r>
        <w:r>
          <w:tab/>
        </w:r>
        <w:r>
          <w:fldChar w:fldCharType="begin"/>
        </w:r>
        <w:r>
          <w:instrText xml:space="preserve">PAGEREF _Toc31 \h</w:instrText>
        </w:r>
        <w:r>
          <w:fldChar w:fldCharType="separate"/>
        </w:r>
        <w:r>
          <w:t xml:space="preserve">18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32" w:anchor="_Toc32" w:history="1">
        <w:r>
          <w:t xml:space="preserve">5.4.</w:t>
        </w:r>
        <w:r>
          <w:tab/>
        </w:r>
        <w:r>
          <w:rPr>
            <w:rStyle w:val="1364"/>
          </w:rPr>
          <w:t xml:space="preserve">Особенности осуществления рассмотрения общих частей заявок.</w:t>
        </w:r>
        <w:r>
          <w:tab/>
        </w:r>
        <w:r>
          <w:fldChar w:fldCharType="begin"/>
        </w:r>
        <w:r>
          <w:instrText xml:space="preserve">PAGEREF _Toc32 \h</w:instrText>
        </w:r>
        <w:r>
          <w:fldChar w:fldCharType="separate"/>
        </w:r>
        <w:r>
          <w:t xml:space="preserve">18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33" w:anchor="_Toc33" w:history="1">
        <w:r>
          <w:t xml:space="preserve">5.5.</w:t>
        </w:r>
        <w:r>
          <w:tab/>
        </w:r>
        <w:r>
          <w:rPr>
            <w:rStyle w:val="1364"/>
          </w:rPr>
          <w:t xml:space="preserve">Особенности осуществле</w:t>
        </w:r>
        <w:r>
          <w:rPr>
            <w:rStyle w:val="1364"/>
          </w:rPr>
          <w:t xml:space="preserve">ния рассмотрения и сопоставления ценовых предложений участников закупки</w:t>
        </w:r>
        <w:r>
          <w:tab/>
        </w:r>
        <w:r>
          <w:fldChar w:fldCharType="begin"/>
        </w:r>
        <w:r>
          <w:instrText xml:space="preserve">PAGEREF _Toc33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34" w:anchor="_Toc34" w:history="1">
        <w:r>
          <w:t xml:space="preserve">5.6.</w:t>
        </w:r>
        <w:r>
          <w:tab/>
        </w:r>
        <w:r>
          <w:rPr>
            <w:rStyle w:val="1364"/>
          </w:rPr>
          <w:t xml:space="preserve">Переторжка</w:t>
        </w:r>
        <w:r>
          <w:tab/>
        </w:r>
        <w:r>
          <w:fldChar w:fldCharType="begin"/>
        </w:r>
        <w:r>
          <w:instrText xml:space="preserve">PAGEREF _Toc34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35" w:anchor="_Toc35" w:history="1">
        <w:r>
          <w:t xml:space="preserve">5.7.</w:t>
        </w:r>
        <w:r>
          <w:tab/>
        </w:r>
        <w:r>
          <w:rPr>
            <w:rStyle w:val="1364"/>
          </w:rPr>
          <w:t xml:space="preserve">Подведение итогов</w:t>
        </w:r>
        <w:r>
          <w:tab/>
        </w:r>
        <w:r>
          <w:fldChar w:fldCharType="begin"/>
        </w:r>
        <w:r>
          <w:instrText xml:space="preserve">PAGEREF _Toc35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36" w:anchor="_Toc36" w:history="1">
        <w:r>
          <w:t xml:space="preserve">5.8.</w:t>
        </w:r>
        <w:r>
          <w:tab/>
        </w:r>
        <w:r>
          <w:rPr>
            <w:rStyle w:val="1364"/>
          </w:rPr>
          <w:t xml:space="preserve">Признание закупки несостоявшейся</w:t>
        </w:r>
        <w:r>
          <w:tab/>
        </w:r>
        <w:r>
          <w:fldChar w:fldCharType="begin"/>
        </w:r>
        <w:r>
          <w:instrText xml:space="preserve">PAGEREF _Toc36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37" w:anchor="_Toc37" w:history="1">
        <w:r>
          <w:t xml:space="preserve">5.9.</w:t>
        </w:r>
        <w:r>
          <w:tab/>
        </w:r>
        <w:r>
          <w:rPr>
            <w:rStyle w:val="1364"/>
          </w:rPr>
          <w:t xml:space="preserve">Рассмотрение жалоб и обращений участников закупки</w:t>
        </w:r>
        <w:r>
          <w:tab/>
        </w:r>
        <w:r>
          <w:fldChar w:fldCharType="begin"/>
        </w:r>
        <w:r>
          <w:instrText xml:space="preserve">PAGEREF _Toc37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1334"/>
        <w:tabs>
          <w:tab w:val="left" w:pos="567" w:leader="none"/>
        </w:tabs>
      </w:pPr>
      <w:r/>
      <w:hyperlink w:tooltip="#_Toc38" w:anchor="_Toc38" w:history="1">
        <w:r>
          <w:t xml:space="preserve">6.</w:t>
        </w:r>
        <w:r>
          <w:tab/>
        </w:r>
        <w:r>
          <w:rPr>
            <w:rStyle w:val="1364"/>
          </w:rPr>
          <w:t xml:space="preserve">ЗАКЛЮЧЕНИЕ, ИЗМЕНЕНИЕ И РАСТОРЖЕНИЕ ДОГОВОРА</w:t>
        </w:r>
        <w:r>
          <w:tab/>
        </w:r>
        <w:r>
          <w:fldChar w:fldCharType="begin"/>
        </w:r>
        <w:r>
          <w:instrText xml:space="preserve">PAGEREF _Toc38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39" w:anchor="_Toc39" w:history="1">
        <w:r>
          <w:t xml:space="preserve">6.1.</w:t>
        </w:r>
        <w:r>
          <w:tab/>
        </w:r>
        <w:r>
          <w:rPr>
            <w:rStyle w:val="1364"/>
          </w:rPr>
          <w:t xml:space="preserve">Срок и порядок заключения договора</w:t>
        </w:r>
        <w:r>
          <w:tab/>
        </w:r>
        <w:r>
          <w:fldChar w:fldCharType="begin"/>
        </w:r>
        <w:r>
          <w:instrText xml:space="preserve">PAGEREF _To</w:instrText>
        </w:r>
        <w:r>
          <w:instrText xml:space="preserve">c39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40" w:anchor="_Toc40" w:history="1">
        <w:r>
          <w:t xml:space="preserve">6.2.</w:t>
        </w:r>
        <w:r>
          <w:tab/>
        </w:r>
        <w:r>
          <w:rPr>
            <w:rStyle w:val="1364"/>
          </w:rPr>
          <w:t xml:space="preserve">Обеспечения исполнения договора, порядок предоставления такого обеспечения, требования к такому обеспечению</w:t>
        </w:r>
        <w:r>
          <w:tab/>
        </w:r>
        <w:r>
          <w:fldChar w:fldCharType="begin"/>
        </w:r>
        <w:r>
          <w:instrText xml:space="preserve">PAGEREF _Toc40 \h</w:instrText>
        </w:r>
        <w:r>
          <w:fldChar w:fldCharType="separate"/>
        </w:r>
        <w:r>
          <w:t xml:space="preserve">22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41" w:anchor="_Toc41" w:history="1">
        <w:r>
          <w:t xml:space="preserve">6.3.</w:t>
        </w:r>
        <w:r>
          <w:tab/>
        </w:r>
        <w:r>
          <w:rPr>
            <w:rStyle w:val="1364"/>
          </w:rPr>
          <w:t xml:space="preserve">Требования к условиям независимой гарантии, выданной в качестве обеспечения исполнения договора</w:t>
        </w:r>
        <w:r>
          <w:tab/>
        </w:r>
        <w:r>
          <w:fldChar w:fldCharType="begin"/>
        </w:r>
        <w:r>
          <w:instrText xml:space="preserve">PAGEREF _Toc41 \h</w:instrText>
        </w:r>
        <w:r>
          <w:fldChar w:fldCharType="separate"/>
        </w:r>
        <w:r>
          <w:t xml:space="preserve">24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42" w:anchor="_Toc42" w:history="1">
        <w:r>
          <w:t xml:space="preserve">6.4.</w:t>
        </w:r>
        <w:r>
          <w:tab/>
        </w:r>
        <w:r>
          <w:rPr>
            <w:rStyle w:val="1364"/>
          </w:rPr>
          <w:t xml:space="preserve">Отказ от заключения договора</w:t>
        </w:r>
        <w:r>
          <w:tab/>
        </w:r>
        <w:r>
          <w:fldChar w:fldCharType="begin"/>
        </w:r>
        <w:r>
          <w:instrText xml:space="preserve">PAGEREF _Toc42 \h</w:instrText>
        </w:r>
        <w:r>
          <w:fldChar w:fldCharType="separate"/>
        </w:r>
        <w:r>
          <w:t xml:space="preserve">27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43" w:anchor="_Toc43" w:history="1">
        <w:r>
          <w:t xml:space="preserve">6.5.</w:t>
        </w:r>
        <w:r>
          <w:tab/>
        </w:r>
        <w:r>
          <w:rPr>
            <w:rStyle w:val="1364"/>
          </w:rPr>
          <w:t xml:space="preserve">Изменение и расторжение договора</w:t>
        </w:r>
        <w:r>
          <w:tab/>
        </w:r>
        <w:r>
          <w:fldChar w:fldCharType="begin"/>
        </w:r>
        <w:r>
          <w:instrText xml:space="preserve">PAGEREF _Toc43 \h</w:instrText>
        </w:r>
        <w:r>
          <w:fldChar w:fldCharType="separate"/>
        </w:r>
        <w:r>
          <w:t xml:space="preserve">27</w:t>
        </w:r>
        <w:r>
          <w:fldChar w:fldCharType="end"/>
        </w:r>
      </w:hyperlink>
      <w:r/>
      <w:r/>
    </w:p>
    <w:p>
      <w:pPr>
        <w:pStyle w:val="1335"/>
        <w:tabs>
          <w:tab w:val="left" w:pos="850" w:leader="none"/>
        </w:tabs>
      </w:pPr>
      <w:r/>
      <w:hyperlink w:tooltip="#_Toc44" w:anchor="_Toc44" w:history="1">
        <w:r>
          <w:t xml:space="preserve">6.6.</w:t>
        </w:r>
        <w:r>
          <w:tab/>
        </w:r>
        <w:r>
          <w:rPr>
            <w:rStyle w:val="1364"/>
          </w:rPr>
          <w:t xml:space="preserve">Закупка продукции с разбиением заказа на лоты</w:t>
        </w:r>
        <w:r>
          <w:tab/>
        </w:r>
        <w:r>
          <w:fldChar w:fldCharType="begin"/>
        </w:r>
        <w:r>
          <w:instrText xml:space="preserve">PAGEREF _Toc44 \h</w:instrText>
        </w:r>
        <w:r>
          <w:fldChar w:fldCharType="separate"/>
        </w:r>
        <w:r>
          <w:t xml:space="preserve">28</w:t>
        </w:r>
        <w:r>
          <w:fldChar w:fldCharType="end"/>
        </w:r>
      </w:hyperlink>
      <w:r/>
      <w:r/>
    </w:p>
    <w:p>
      <w:pPr>
        <w:pStyle w:val="1334"/>
        <w:tabs>
          <w:tab w:val="left" w:pos="567" w:leader="none"/>
        </w:tabs>
        <w:rPr>
          <w:rStyle w:val="1315"/>
          <w:rFonts w:ascii="Times New Roman" w:hAnsi="Times New Roman" w:cs="Times New Roman"/>
        </w:rPr>
      </w:pPr>
      <w:r/>
      <w:hyperlink w:tooltip="#_Toc45" w:anchor="_Toc45" w:history="1">
        <w:r>
          <w:t xml:space="preserve">II.</w:t>
        </w:r>
        <w:r>
          <w:tab/>
        </w:r>
        <w:r>
          <w:rPr>
            <w:rStyle w:val="1364"/>
          </w:rPr>
          <w:t xml:space="preserve">ИНФОРМАЦИО</w:t>
        </w:r>
        <w:r>
          <w:rPr>
            <w:rStyle w:val="1364"/>
          </w:rPr>
          <w:t xml:space="preserve">Н</w:t>
        </w:r>
        <w:r>
          <w:rPr>
            <w:rStyle w:val="1364"/>
          </w:rPr>
          <w:t xml:space="preserve">НАЯ КАРТА ЗАКУПКИ</w:t>
        </w:r>
        <w:r>
          <w:tab/>
        </w:r>
        <w:r>
          <w:fldChar w:fldCharType="begin"/>
        </w:r>
        <w:r>
          <w:instrText xml:space="preserve">PAGEREF _Toc45 \h</w:instrText>
        </w:r>
        <w:r>
          <w:fldChar w:fldCharType="separate"/>
        </w:r>
        <w:r>
          <w:t xml:space="preserve">29</w:t>
        </w:r>
        <w:r>
          <w:fldChar w:fldCharType="end"/>
        </w:r>
      </w:hyperlink>
      <w:r>
        <w:rPr>
          <w:rStyle w:val="1315"/>
          <w:rFonts w:ascii="Times New Roman" w:hAnsi="Times New Roman" w:cs="Times New Roman"/>
        </w:rPr>
      </w:r>
      <w:r>
        <w:rPr>
          <w:rStyle w:val="1315"/>
          <w:rFonts w:ascii="Times New Roman" w:hAnsi="Times New Roman" w:cs="Times New Roman"/>
        </w:rPr>
      </w:r>
    </w:p>
    <w:p>
      <w:pPr>
        <w:pStyle w:val="1334"/>
        <w:tabs>
          <w:tab w:val="left" w:pos="567" w:leader="none"/>
        </w:tabs>
        <w:rPr>
          <w:rStyle w:val="1315"/>
          <w:rFonts w:ascii="Times New Roman" w:hAnsi="Times New Roman" w:cs="Times New Roman"/>
        </w:rPr>
      </w:pPr>
      <w:r/>
      <w:hyperlink w:tooltip="#_Toc46" w:anchor="_Toc46" w:history="1">
        <w:r>
          <w:t xml:space="preserve">III.</w:t>
        </w:r>
        <w:r>
          <w:tab/>
        </w:r>
        <w:r>
          <w:rPr>
            <w:rStyle w:val="1364"/>
          </w:rPr>
          <w:t xml:space="preserve">ОБРАЗЦЫ ФОРМ ДЛЯ ЗАПОЛНЕНИЯ УЧАСТНИКАМИ ЗАКУПКИ</w:t>
        </w:r>
        <w:r>
          <w:tab/>
        </w:r>
        <w:r>
          <w:fldChar w:fldCharType="begin"/>
        </w:r>
        <w:r>
          <w:instrText xml:space="preserve">PAGEREF _Toc46 \h</w:instrText>
        </w:r>
        <w:r>
          <w:fldChar w:fldCharType="separate"/>
        </w:r>
        <w:r>
          <w:t xml:space="preserve">4</w:t>
        </w:r>
        <w:r>
          <w:t xml:space="preserve">9</w:t>
        </w:r>
        <w:r>
          <w:fldChar w:fldCharType="end"/>
        </w:r>
      </w:hyperlink>
      <w:r>
        <w:rPr>
          <w:rStyle w:val="1315"/>
          <w:rFonts w:ascii="Times New Roman" w:hAnsi="Times New Roman" w:cs="Times New Roman"/>
        </w:rPr>
      </w:r>
      <w:r>
        <w:rPr>
          <w:rStyle w:val="1315"/>
          <w:rFonts w:ascii="Times New Roman" w:hAnsi="Times New Roman" w:cs="Times New Roman"/>
        </w:rPr>
      </w:r>
    </w:p>
    <w:p>
      <w:pPr>
        <w:pStyle w:val="1335"/>
      </w:pPr>
      <w:r/>
      <w:hyperlink w:tooltip="#_Toc47" w:anchor="_Toc47" w:history="1">
        <w:r>
          <w:rPr>
            <w:rStyle w:val="1364"/>
          </w:rPr>
          <w:t xml:space="preserve">ФОРМА ТЕХНИЧЕСКОЕ ПРЕДЛОЖЕНИЕ</w:t>
        </w:r>
        <w:r>
          <w:tab/>
        </w:r>
        <w:r>
          <w:fldChar w:fldCharType="begin"/>
        </w:r>
        <w:r>
          <w:instrText xml:space="preserve">PAGEREF _Toc47 \h</w:instrText>
        </w:r>
        <w:r>
          <w:fldChar w:fldCharType="separate"/>
        </w:r>
        <w:r>
          <w:t xml:space="preserve">49</w:t>
        </w:r>
        <w:r>
          <w:fldChar w:fldCharType="end"/>
        </w:r>
      </w:hyperlink>
      <w:r/>
      <w:r/>
    </w:p>
    <w:p>
      <w:pPr>
        <w:pStyle w:val="1335"/>
      </w:pPr>
      <w:r/>
      <w:hyperlink w:tooltip="#_Toc48" w:anchor="_Toc48" w:history="1">
        <w:r>
          <w:rPr>
            <w:rStyle w:val="1364"/>
          </w:rPr>
          <w:t xml:space="preserve">ФОРМА</w:t>
        </w:r>
        <w:r>
          <w:rPr>
            <w:rStyle w:val="1364"/>
          </w:rPr>
          <w:t xml:space="preserve"> ПИСЬМО О ПОДАЧЕ ОФЕРТЫ</w:t>
        </w:r>
        <w:r>
          <w:tab/>
        </w:r>
        <w:r>
          <w:fldChar w:fldCharType="begin"/>
        </w:r>
        <w:r>
          <w:instrText xml:space="preserve">PAGEREF _Toc48 \h</w:instrText>
        </w:r>
        <w:r>
          <w:fldChar w:fldCharType="separate"/>
        </w:r>
        <w:r>
          <w:t xml:space="preserve">50</w:t>
        </w:r>
        <w:r>
          <w:fldChar w:fldCharType="end"/>
        </w:r>
      </w:hyperlink>
      <w:r/>
      <w:r/>
    </w:p>
    <w:p>
      <w:pPr>
        <w:pStyle w:val="1335"/>
      </w:pPr>
      <w:r/>
      <w:hyperlink w:tooltip="#_Toc49" w:anchor="_Toc49" w:history="1">
        <w:r>
          <w:rPr>
            <w:rStyle w:val="1364"/>
          </w:rPr>
          <w:t xml:space="preserve">ФОРМА ПЛАН РАСПРЕДЕЛЕНИЯ ОБЪЕМОВ ВЫПОЛНЕНИЯ РАБОТ/ОКАЗАНИЯ УСЛУГ МЕЖДУ ЧЛЕНАМИ КОЛЛЕКТИВНОГО УЧАСТНИКА (КОНСОРЦИУ</w:t>
        </w:r>
        <w:r>
          <w:rPr>
            <w:rStyle w:val="1364"/>
          </w:rPr>
          <w:t xml:space="preserve">МА, ПРОСТОГО ТОВАРИЩЕСТВА)</w:t>
        </w:r>
        <w:r>
          <w:tab/>
        </w:r>
        <w:r>
          <w:fldChar w:fldCharType="begin"/>
        </w:r>
        <w:r>
          <w:instrText xml:space="preserve">PAGEREF _Toc49 \h</w:instrText>
        </w:r>
        <w:r>
          <w:fldChar w:fldCharType="separate"/>
        </w:r>
        <w:r>
          <w:t xml:space="preserve">53</w:t>
        </w:r>
        <w:r>
          <w:fldChar w:fldCharType="end"/>
        </w:r>
      </w:hyperlink>
      <w:r/>
      <w:r/>
    </w:p>
    <w:p>
      <w:pPr>
        <w:pStyle w:val="1335"/>
      </w:pPr>
      <w:r/>
      <w:hyperlink w:tooltip="#_Toc50" w:anchor="_Toc50" w:history="1">
        <w:r>
          <w:rPr>
            <w:rStyle w:val="1364"/>
          </w:rPr>
          <w:t xml:space="preserve">ФОРМА АНКЕТА УЧАСТНИКА ЗАКУПКИ</w:t>
        </w:r>
        <w:r>
          <w:tab/>
        </w:r>
        <w:r>
          <w:fldChar w:fldCharType="begin"/>
        </w:r>
        <w:r>
          <w:instrText xml:space="preserve">PAGEREF _Toc50 \h</w:instrText>
        </w:r>
        <w:r>
          <w:fldChar w:fldCharType="separate"/>
        </w:r>
        <w:r>
          <w:t xml:space="preserve">55</w:t>
        </w:r>
        <w:r>
          <w:fldChar w:fldCharType="end"/>
        </w:r>
      </w:hyperlink>
      <w:r/>
      <w:r/>
    </w:p>
    <w:p>
      <w:pPr>
        <w:pStyle w:val="1335"/>
      </w:pPr>
      <w:r/>
      <w:hyperlink w:tooltip="#_Toc51" w:anchor="_Toc51" w:history="1">
        <w:r>
          <w:rPr>
            <w:rStyle w:val="1364"/>
          </w:rPr>
          <w:t xml:space="preserve">ФОРМА СПРАВКА О НАЛИЧИИ КОНФЛИКТА ИНТЕРЕСОВ И/ИЛИ СВЯЗЕЙ, НОСЯЩИХ ХАРАКТЕР АФФИЛИРОВАННОСТИ С СОТРУДНИКАМИ ЗАКАЗЧИКА ИЛИ ОРГАНИЗАТОРА ЗАКУПКИ</w:t>
        </w:r>
        <w:r>
          <w:tab/>
        </w:r>
        <w:r>
          <w:fldChar w:fldCharType="begin"/>
        </w:r>
        <w:r>
          <w:instrText xml:space="preserve">PAGEREF _Toc51 \h</w:instrText>
        </w:r>
        <w:r>
          <w:fldChar w:fldCharType="separate"/>
        </w:r>
        <w:r>
          <w:t xml:space="preserve">59</w:t>
        </w:r>
        <w:r>
          <w:fldChar w:fldCharType="end"/>
        </w:r>
      </w:hyperlink>
      <w:r/>
      <w:r/>
    </w:p>
    <w:p>
      <w:pPr>
        <w:pStyle w:val="1335"/>
      </w:pPr>
      <w:r/>
      <w:hyperlink w:tooltip="#_Toc52" w:anchor="_Toc52" w:history="1">
        <w:r>
          <w:rPr>
            <w:rStyle w:val="1364"/>
          </w:rPr>
          <w:t xml:space="preserve">ФОРМА СПРАВКА (ИНФОРМАЦИЯ) О СОБСТВЕННИКАХ УЧАСТНИКА ЗАКУПКИ (ВКЛЮЧАЯ КОНЕЧНЫХ БЕНЕФИЦИАРОВ)</w:t>
        </w:r>
        <w:r>
          <w:tab/>
        </w:r>
        <w:r>
          <w:fldChar w:fldCharType="begin"/>
        </w:r>
        <w:r>
          <w:instrText xml:space="preserve">PAGEREF _Toc52 \h</w:instrText>
        </w:r>
        <w:r>
          <w:fldChar w:fldCharType="separate"/>
        </w:r>
        <w:r>
          <w:t xml:space="preserve">60</w:t>
        </w:r>
        <w:r>
          <w:fldChar w:fldCharType="end"/>
        </w:r>
      </w:hyperlink>
      <w:r/>
      <w:r/>
    </w:p>
    <w:p>
      <w:pPr>
        <w:pStyle w:val="1335"/>
      </w:pPr>
      <w:r/>
      <w:hyperlink w:tooltip="#_Toc53" w:anchor="_Toc53" w:history="1">
        <w:r>
          <w:rPr>
            <w:rStyle w:val="1364"/>
          </w:rPr>
          <w:t xml:space="preserve">ФОРМА СОГЛАСИЕ НА ОБРАБОТКУ ПЕРСОНАЛЬНЫХ ДАННЫХ</w:t>
        </w:r>
        <w:r>
          <w:tab/>
        </w:r>
        <w:r>
          <w:fldChar w:fldCharType="begin"/>
        </w:r>
        <w:r>
          <w:instrText xml:space="preserve">PAGEREF _Toc53 \h</w:instrText>
        </w:r>
        <w:r>
          <w:fldChar w:fldCharType="separate"/>
        </w:r>
        <w:r>
          <w:t xml:space="preserve">65</w:t>
        </w:r>
        <w:r>
          <w:fldChar w:fldCharType="end"/>
        </w:r>
      </w:hyperlink>
      <w:r/>
      <w:r/>
    </w:p>
    <w:p>
      <w:pPr>
        <w:pStyle w:val="1335"/>
      </w:pPr>
      <w:r/>
      <w:hyperlink w:tooltip="#_Toc54" w:anchor="_Toc54" w:history="1">
        <w:r>
          <w:rPr>
            <w:rStyle w:val="1364"/>
          </w:rPr>
          <w:t xml:space="preserve">ФОРМА АНТИКОРРУПЦИОННЫЕ ОБЯЗА</w:t>
        </w:r>
        <w:r>
          <w:rPr>
            <w:rStyle w:val="1364"/>
          </w:rPr>
          <w:t xml:space="preserve">ТЕЛЬСТВА</w:t>
        </w:r>
        <w:r>
          <w:tab/>
        </w:r>
        <w:r>
          <w:fldChar w:fldCharType="begin"/>
        </w:r>
        <w:r>
          <w:instrText xml:space="preserve">PAGEREF _Toc54 \h</w:instrText>
        </w:r>
        <w:r>
          <w:fldChar w:fldCharType="separate"/>
        </w:r>
        <w:r>
          <w:t xml:space="preserve">67</w:t>
        </w:r>
        <w:r>
          <w:fldChar w:fldCharType="end"/>
        </w:r>
      </w:hyperlink>
      <w:r/>
      <w:r/>
    </w:p>
    <w:p>
      <w:pPr>
        <w:pStyle w:val="1335"/>
        <w:rPr>
          <w:highlight w:val="white"/>
        </w:rPr>
      </w:pPr>
      <w:r/>
      <w:hyperlink w:tooltip="#_Toc55" w:anchor="_Toc55" w:history="1">
        <w:r>
          <w:rPr>
            <w:rStyle w:val="1364"/>
            <w:highlight w:val="white"/>
          </w:rPr>
          <w:t xml:space="preserve">ФОРМА СПРАВКА О ПЕРЕЧНЕ И ОБЪЕМАХ ВЫПОЛНЕНИЯ АНАЛОГИЧНЫХ ДОГОВОРОВ</w:t>
        </w:r>
        <w:r>
          <w:tab/>
        </w:r>
        <w:r>
          <w:fldChar w:fldCharType="begin"/>
        </w:r>
        <w:r>
          <w:instrText xml:space="preserve">PAGEREF _Toc55 \h</w:instrText>
        </w:r>
        <w:r>
          <w:fldChar w:fldCharType="separate"/>
        </w:r>
        <w:r>
          <w:t xml:space="preserve">70</w:t>
        </w:r>
        <w:r>
          <w:fldChar w:fldCharType="end"/>
        </w:r>
      </w:hyperlink>
      <w:r>
        <w:rPr>
          <w:highlight w:val="white"/>
        </w:rPr>
      </w:r>
      <w:r>
        <w:rPr>
          <w:highlight w:val="white"/>
        </w:rPr>
      </w:r>
    </w:p>
    <w:p>
      <w:pPr>
        <w:pStyle w:val="1335"/>
        <w:rPr>
          <w:rFonts w:eastAsiaTheme="majorEastAsia"/>
          <w:highlight w:val="white"/>
        </w:rPr>
      </w:pPr>
      <w:r/>
      <w:hyperlink w:tooltip="#_Toc56" w:anchor="_Toc56" w:history="1">
        <w:r>
          <w:rPr>
            <w:rStyle w:val="1364"/>
            <w:highlight w:val="white"/>
          </w:rPr>
          <w:t xml:space="preserve">ФОРМА КОММЕРЧЕСКОЕ ПРЕДЛОЖЕНИЕ</w:t>
        </w:r>
        <w:r>
          <w:tab/>
        </w:r>
        <w:r>
          <w:fldChar w:fldCharType="begin"/>
        </w:r>
        <w:r>
          <w:instrText xml:space="preserve">PAGEREF _Toc56 \h</w:instrText>
        </w:r>
        <w:r>
          <w:fldChar w:fldCharType="separate"/>
        </w:r>
        <w:r>
          <w:t xml:space="preserve">72</w:t>
        </w:r>
        <w:r>
          <w:fldChar w:fldCharType="end"/>
        </w:r>
      </w:hyperlink>
      <w:r>
        <w:rPr>
          <w:rFonts w:eastAsiaTheme="majorEastAsia"/>
          <w:highlight w:val="white"/>
        </w:rPr>
      </w:r>
      <w:r>
        <w:rPr>
          <w:rFonts w:eastAsiaTheme="majorEastAsia"/>
          <w:highlight w:val="white"/>
        </w:rPr>
      </w:r>
    </w:p>
    <w:p>
      <w:pPr>
        <w:pStyle w:val="1334"/>
        <w:tabs>
          <w:tab w:val="left" w:pos="567" w:leader="none"/>
        </w:tabs>
        <w:rPr>
          <w:rStyle w:val="1315"/>
          <w:rFonts w:ascii="Times New Roman" w:hAnsi="Times New Roman" w:cs="Times New Roman"/>
        </w:rPr>
      </w:pPr>
      <w:r/>
      <w:hyperlink w:tooltip="#_Toc57" w:anchor="_Toc57" w:history="1">
        <w:r>
          <w:t xml:space="preserve">IV.</w:t>
        </w:r>
        <w:r>
          <w:tab/>
        </w:r>
        <w:r>
          <w:rPr>
            <w:rStyle w:val="1364"/>
          </w:rPr>
          <w:t xml:space="preserve">ПРОЕКТ ДОГОВОРА</w:t>
        </w:r>
        <w:r>
          <w:tab/>
        </w:r>
        <w:r>
          <w:fldChar w:fldCharType="begin"/>
        </w:r>
        <w:r>
          <w:instrText xml:space="preserve">PAGEREF _Toc57 \h</w:instrText>
        </w:r>
        <w:r>
          <w:fldChar w:fldCharType="separate"/>
        </w:r>
        <w:r>
          <w:t xml:space="preserve">73</w:t>
        </w:r>
        <w:r>
          <w:fldChar w:fldCharType="end"/>
        </w:r>
      </w:hyperlink>
      <w:r>
        <w:rPr>
          <w:rStyle w:val="1315"/>
          <w:rFonts w:ascii="Times New Roman" w:hAnsi="Times New Roman" w:cs="Times New Roman"/>
        </w:rPr>
      </w:r>
      <w:r>
        <w:rPr>
          <w:rStyle w:val="1315"/>
          <w:rFonts w:ascii="Times New Roman" w:hAnsi="Times New Roman" w:cs="Times New Roman"/>
        </w:rPr>
      </w:r>
    </w:p>
    <w:p>
      <w:pPr>
        <w:pStyle w:val="1334"/>
        <w:tabs>
          <w:tab w:val="left" w:pos="567" w:leader="none"/>
        </w:tabs>
        <w:rPr>
          <w:rStyle w:val="1315"/>
          <w:rFonts w:ascii="Times New Roman" w:hAnsi="Times New Roman" w:cs="Times New Roman"/>
        </w:rPr>
      </w:pPr>
      <w:r/>
      <w:hyperlink w:tooltip="#_Toc58" w:anchor="_Toc58" w:history="1">
        <w:r>
          <w:t xml:space="preserve">V.</w:t>
        </w:r>
        <w:r>
          <w:tab/>
        </w:r>
        <w:r>
          <w:rPr>
            <w:rStyle w:val="1364"/>
          </w:rPr>
          <w:t xml:space="preserve">ТЕХНИЧЕСКАЯ ЧАСТЬ</w:t>
        </w:r>
        <w:r>
          <w:tab/>
        </w:r>
        <w:r>
          <w:fldChar w:fldCharType="begin"/>
        </w:r>
        <w:r>
          <w:instrText xml:space="preserve">PAGEREF _Toc58 \h</w:instrText>
        </w:r>
        <w:r>
          <w:fldChar w:fldCharType="separate"/>
        </w:r>
        <w:r>
          <w:t xml:space="preserve">74</w:t>
        </w:r>
        <w:r>
          <w:fldChar w:fldCharType="end"/>
        </w:r>
      </w:hyperlink>
      <w:r>
        <w:rPr>
          <w:rStyle w:val="1315"/>
          <w:rFonts w:ascii="Times New Roman" w:hAnsi="Times New Roman" w:cs="Times New Roman"/>
        </w:rPr>
      </w:r>
      <w:r>
        <w:rPr>
          <w:rStyle w:val="1315"/>
          <w:rFonts w:ascii="Times New Roman" w:hAnsi="Times New Roman" w:cs="Times New Roman"/>
        </w:rPr>
      </w:r>
    </w:p>
    <w:p>
      <w:pPr>
        <w:pStyle w:val="1334"/>
        <w:tabs>
          <w:tab w:val="left" w:pos="567" w:leader="none"/>
        </w:tabs>
        <w:rPr>
          <w:rStyle w:val="1315"/>
          <w:rFonts w:ascii="Times New Roman" w:hAnsi="Times New Roman" w:cs="Times New Roman"/>
        </w:rPr>
      </w:pPr>
      <w:r/>
      <w:hyperlink w:tooltip="#_Toc59" w:anchor="_Toc59" w:history="1">
        <w:r>
          <w:t xml:space="preserve">VI.</w:t>
        </w:r>
        <w:r>
          <w:tab/>
        </w:r>
        <w:r>
          <w:rPr>
            <w:rStyle w:val="1364"/>
          </w:rPr>
          <w:t xml:space="preserve">ОБОСНОВАНИЕ НМЦ</w:t>
        </w:r>
        <w:r>
          <w:tab/>
        </w:r>
        <w:r>
          <w:fldChar w:fldCharType="begin"/>
        </w:r>
        <w:r>
          <w:instrText xml:space="preserve">PAGEREF _Toc59 \h</w:instrText>
        </w:r>
        <w:r>
          <w:fldChar w:fldCharType="separate"/>
        </w:r>
        <w:r>
          <w:t xml:space="preserve">75</w:t>
        </w:r>
        <w:r>
          <w:fldChar w:fldCharType="end"/>
        </w:r>
      </w:hyperlink>
      <w:r>
        <w:rPr>
          <w:rStyle w:val="1315"/>
          <w:rFonts w:ascii="Times New Roman" w:hAnsi="Times New Roman" w:cs="Times New Roman"/>
        </w:rPr>
      </w:r>
      <w:r>
        <w:rPr>
          <w:rStyle w:val="1315"/>
          <w:rFonts w:ascii="Times New Roman" w:hAnsi="Times New Roman" w:cs="Times New Roman"/>
        </w:rPr>
      </w:r>
    </w:p>
    <w:p>
      <w:pPr>
        <w:pStyle w:val="1334"/>
        <w:tabs>
          <w:tab w:val="left" w:pos="850" w:leader="none"/>
        </w:tabs>
      </w:pPr>
      <w:r/>
      <w:hyperlink w:tooltip="#_Toc60" w:anchor="_Toc60" w:history="1">
        <w:r>
          <w:t xml:space="preserve">VII.</w:t>
        </w:r>
        <w:r>
          <w:tab/>
        </w:r>
        <w:r>
          <w:rPr>
            <w:rStyle w:val="1364"/>
          </w:rPr>
          <w:t xml:space="preserve">ТИПОВ</w:t>
        </w:r>
        <w:r>
          <w:rPr>
            <w:rStyle w:val="1364"/>
            <w:rFonts w:eastAsiaTheme="majorEastAsia"/>
          </w:rPr>
          <w:t xml:space="preserve">ЫЕ</w:t>
        </w:r>
        <w:r>
          <w:rPr>
            <w:rStyle w:val="1364"/>
          </w:rPr>
          <w:t xml:space="preserve"> ФОРМ</w:t>
        </w:r>
        <w:r>
          <w:rPr>
            <w:rStyle w:val="1364"/>
            <w:rFonts w:eastAsiaTheme="majorEastAsia"/>
          </w:rPr>
          <w:t xml:space="preserve">Ы</w:t>
        </w:r>
        <w:r>
          <w:rPr>
            <w:rStyle w:val="1364"/>
          </w:rPr>
          <w:t xml:space="preserve"> НЕЗАВИСИМ</w:t>
        </w:r>
        <w:r>
          <w:rPr>
            <w:rStyle w:val="1364"/>
            <w:rFonts w:eastAsiaTheme="majorEastAsia"/>
          </w:rPr>
          <w:t xml:space="preserve">ЫХ ГАРАНТИЙ</w:t>
        </w:r>
        <w:r>
          <w:tab/>
        </w:r>
        <w:r>
          <w:fldChar w:fldCharType="begin"/>
        </w:r>
        <w:r>
          <w:instrText xml:space="preserve">PAGEREF _Toc60 \h</w:instrText>
        </w:r>
        <w:r>
          <w:fldChar w:fldCharType="separate"/>
        </w:r>
        <w:r>
          <w:t xml:space="preserve">76</w:t>
        </w:r>
        <w:r>
          <w:fldChar w:fldCharType="end"/>
        </w:r>
      </w:hyperlink>
      <w:r/>
      <w:r/>
    </w:p>
    <w:p>
      <w:pPr>
        <w:pStyle w:val="1334"/>
        <w:tabs>
          <w:tab w:val="left" w:pos="850" w:leader="none"/>
        </w:tabs>
        <w:rPr>
          <w:b w:val="0"/>
          <w:i/>
          <w:smallCaps/>
          <w:sz w:val="24"/>
          <w:szCs w:val="24"/>
        </w:rPr>
      </w:pPr>
      <w:r>
        <w:rPr>
          <w:b w:val="0"/>
          <w:bCs w:val="0"/>
          <w:i/>
          <w:iCs/>
          <w:smallCaps/>
          <w:sz w:val="24"/>
          <w:szCs w:val="24"/>
        </w:rPr>
        <w:fldChar w:fldCharType="end"/>
      </w:r>
      <w:r>
        <w:rPr>
          <w:b w:val="0"/>
          <w:i/>
          <w:smallCaps/>
          <w:sz w:val="24"/>
          <w:szCs w:val="24"/>
        </w:rPr>
      </w:r>
      <w:r>
        <w:rPr>
          <w:b w:val="0"/>
          <w:i/>
          <w:smallCaps/>
          <w:sz w:val="24"/>
          <w:szCs w:val="24"/>
        </w:rPr>
      </w:r>
    </w:p>
    <w:p>
      <w:pPr>
        <w:pStyle w:val="1144"/>
        <w:numPr>
          <w:ilvl w:val="0"/>
          <w:numId w:val="4"/>
        </w:numPr>
        <w:ind w:left="0" w:firstLine="567"/>
        <w:keepNext w:val="0"/>
        <w:pageBreakBefore/>
        <w:spacing w:before="0" w:after="0"/>
        <w:widowControl w:val="off"/>
        <w:rPr>
          <w:rStyle w:val="1315"/>
          <w:b w:val="0"/>
          <w:bCs w:val="0"/>
          <w:caps/>
          <w:sz w:val="28"/>
          <w:szCs w:val="28"/>
        </w:rPr>
      </w:pPr>
      <w:r/>
      <w:bookmarkStart w:id="1" w:name="_I._ОБЩИЕ_У"/>
      <w:r/>
      <w:bookmarkStart w:id="2" w:name="_ОБЩИЕ_УСЛОВИЯ_ПРОВЕДЕНИЯ"/>
      <w:r/>
      <w:bookmarkStart w:id="3" w:name="_Ref166642713"/>
      <w:r/>
      <w:bookmarkStart w:id="4" w:name="_Toc2"/>
      <w:r/>
      <w:bookmarkEnd w:id="1"/>
      <w:r/>
      <w:bookmarkEnd w:id="2"/>
      <w:r>
        <w:rPr>
          <w:rStyle w:val="1315"/>
          <w:rFonts w:ascii="Times New Roman" w:hAnsi="Times New Roman" w:cs="Times New Roman"/>
          <w:caps/>
          <w:color w:val="auto"/>
          <w:sz w:val="28"/>
          <w:szCs w:val="28"/>
        </w:rPr>
        <w:t xml:space="preserve">ОБЩИЕ УСЛО</w:t>
      </w:r>
      <w:r>
        <w:rPr>
          <w:rStyle w:val="1315"/>
          <w:rFonts w:ascii="Times New Roman" w:hAnsi="Times New Roman" w:cs="Times New Roman"/>
          <w:caps/>
          <w:color w:val="auto"/>
          <w:sz w:val="28"/>
          <w:szCs w:val="28"/>
        </w:rPr>
        <w:t xml:space="preserve">ВИЯ ПРОВЕДЕНИЯ ЗАКУПКИ</w:t>
      </w:r>
      <w:bookmarkEnd w:id="3"/>
      <w:r/>
      <w:bookmarkEnd w:id="4"/>
      <w:r>
        <w:rPr>
          <w:rStyle w:val="1315"/>
          <w:b w:val="0"/>
          <w:bCs w:val="0"/>
          <w:caps/>
          <w:sz w:val="28"/>
          <w:szCs w:val="28"/>
        </w:rPr>
      </w:r>
      <w:r>
        <w:rPr>
          <w:rStyle w:val="1315"/>
          <w:b w:val="0"/>
          <w:bCs w:val="0"/>
          <w:caps/>
          <w:sz w:val="28"/>
          <w:szCs w:val="28"/>
        </w:rPr>
      </w:r>
    </w:p>
    <w:p>
      <w:r/>
      <w:r/>
    </w:p>
    <w:p>
      <w:pPr>
        <w:pStyle w:val="1144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5" w:name="_ОБЩИЕ_ПОЛОЖЕНИЯ"/>
      <w:r/>
      <w:bookmarkStart w:id="6" w:name="_Ref166101247"/>
      <w:r/>
      <w:bookmarkStart w:id="7" w:name="_Ref166101251"/>
      <w:r/>
      <w:bookmarkStart w:id="8" w:name="_Toc3"/>
      <w:r/>
      <w:bookmarkEnd w:id="5"/>
      <w:r>
        <w:rPr>
          <w:sz w:val="24"/>
          <w:szCs w:val="24"/>
        </w:rPr>
        <w:t xml:space="preserve">ОБЩИЕ ПОЛОЖЕНИЯ</w:t>
      </w:r>
      <w:bookmarkEnd w:id="6"/>
      <w:r/>
      <w:bookmarkEnd w:id="7"/>
      <w:r/>
      <w:bookmarkEnd w:id="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5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9" w:name="_Toc4"/>
      <w:r>
        <w:rPr>
          <w:sz w:val="24"/>
          <w:szCs w:val="24"/>
        </w:rPr>
        <w:t xml:space="preserve">Правовой статус документов</w:t>
      </w:r>
      <w:bookmarkEnd w:id="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0" w:name="_Ref119427085"/>
      <w:r/>
      <w:bookmarkStart w:id="11" w:name="_Ref11225299"/>
      <w:r>
        <w:rPr>
          <w:rFonts w:ascii="Times New Roman" w:hAnsi="Times New Roman" w:cs="Times New Roman"/>
          <w:b w:val="0"/>
          <w:bCs w:val="0"/>
        </w:rPr>
        <w:t xml:space="preserve">Настоящая документация о закупке подготовлена в соответствии </w:t>
      </w:r>
      <w:bookmarkEnd w:id="10"/>
      <w:r>
        <w:rPr>
          <w:rFonts w:ascii="Times New Roman" w:hAnsi="Times New Roman" w:cs="Times New Roman"/>
          <w:b w:val="0"/>
          <w:bCs w:val="0"/>
        </w:rPr>
        <w:t xml:space="preserve">с требованиями </w:t>
      </w:r>
      <w:hyperlink r:id="rId12" w:tooltip="http://www.consultant.ru/document/cons_doc_LAW_116964/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Федерального закона от 18.07.2011 № 223-ФЗ «О закупке товаров, работ, услуг отдельными видами юридических лиц»</w:t>
        </w:r>
      </w:hyperlink>
      <w:r>
        <w:rPr>
          <w:rFonts w:ascii="Times New Roman" w:hAnsi="Times New Roman" w:cs="Times New Roman"/>
          <w:b w:val="0"/>
          <w:bCs w:val="0"/>
        </w:rPr>
        <w:t xml:space="preserve"> (далее – Закон 2</w:t>
      </w:r>
      <w:r>
        <w:rPr>
          <w:rFonts w:ascii="Times New Roman" w:hAnsi="Times New Roman" w:cs="Times New Roman"/>
          <w:b w:val="0"/>
          <w:bCs w:val="0"/>
        </w:rPr>
        <w:t xml:space="preserve">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hyperlink r:id="rId13" w:tooltip="https://zakupki.gov.ru/epz/orderclause/card/common-info.html?orderClauseInfoId=967865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Единого стандарта закупок ПАО«Россети»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(далее – Стандарт, Положение о закупке), (в редакции, дейс</w:t>
      </w:r>
      <w:r>
        <w:rPr>
          <w:rFonts w:ascii="Times New Roman" w:hAnsi="Times New Roman" w:cs="Times New Roman"/>
          <w:b w:val="0"/>
          <w:bCs w:val="0"/>
        </w:rPr>
        <w:t xml:space="preserve">твующей на дату официального размещения извещения).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</w:t>
      </w:r>
      <w:r>
        <w:rPr>
          <w:rFonts w:ascii="Times New Roman" w:hAnsi="Times New Roman" w:cs="Times New Roman"/>
          <w:b w:val="0"/>
          <w:bCs w:val="0"/>
        </w:rPr>
        <w:t xml:space="preserve"> соответствии с определениями, установленными в Приложении 1 «Глоссарий» к Стандарту, если настоящей документацией о закупке не установлено иное.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Извещение о закупке и настоящая документация о закупке, размещенные Заказчиком в Единой информационной системе</w:t>
      </w:r>
      <w:r>
        <w:rPr>
          <w:rFonts w:ascii="Times New Roman" w:hAnsi="Times New Roman" w:cs="Times New Roman"/>
          <w:b w:val="0"/>
          <w:bCs w:val="0"/>
        </w:rPr>
        <w:t xml:space="preserve"> в сфере закупок товаров, работ, услуг для обеспечения государственных и муниципальных нужд (далее – единая информационная система, ЕИС), являются офертой Заказчика и должны рассматриваться участниками закупки в соответствии с этим в течение срока, определ</w:t>
      </w:r>
      <w:r>
        <w:rPr>
          <w:rFonts w:ascii="Times New Roman" w:hAnsi="Times New Roman" w:cs="Times New Roman"/>
          <w:b w:val="0"/>
          <w:bCs w:val="0"/>
        </w:rPr>
        <w:t xml:space="preserve">енного для проведения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конкурентной закупке (далее – заявка, заявка участника закупки).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участника закупки, поданная участником в соответствии с установленными требованиями, имеет правовой статус оф</w:t>
      </w:r>
      <w:r>
        <w:rPr>
          <w:rFonts w:ascii="Times New Roman" w:hAnsi="Times New Roman" w:cs="Times New Roman"/>
          <w:b w:val="0"/>
          <w:bCs w:val="0"/>
        </w:rPr>
        <w:t xml:space="preserve">ерты и будет рассматриваться Заказчиком в соответствии с этим.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Во всем, что не урегулировано извещением о закупке и настоящей документацией о закупке, стороны руководствуются законодательством о закупках отдельными видами юридических лиц, </w:t>
      </w:r>
      <w:hyperlink r:id="rId14" w:tooltip="http://www.consultant.ru/document/cons_doc_LAW_5142/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Гражданским кодексом Российской Федерации</w:t>
        </w:r>
      </w:hyperlink>
      <w:r>
        <w:rPr>
          <w:rFonts w:ascii="Times New Roman" w:hAnsi="Times New Roman" w:cs="Times New Roman"/>
          <w:b w:val="0"/>
          <w:bCs w:val="0"/>
        </w:rPr>
        <w:t xml:space="preserve">, </w:t>
      </w:r>
      <w:hyperlink r:id="rId15" w:tooltip="https://zakupki.gov.ru/epz/orderclause/card/common-info.html?orderClauseInfoId=829138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Положением о закупке Заказчика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сторон договора, заключаемого по результатам закупки, действуют также иные специальные нормативные правовые акты, нас</w:t>
      </w:r>
      <w:r>
        <w:rPr>
          <w:rFonts w:ascii="Times New Roman" w:hAnsi="Times New Roman" w:cs="Times New Roman"/>
          <w:b w:val="0"/>
          <w:bCs w:val="0"/>
        </w:rPr>
        <w:t xml:space="preserve">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2" w:name="_Toc5"/>
      <w:r>
        <w:rPr>
          <w:sz w:val="24"/>
          <w:szCs w:val="24"/>
        </w:rPr>
        <w:t xml:space="preserve">Заказчик, предмет и условия проведения закупки.</w:t>
      </w:r>
      <w:bookmarkEnd w:id="1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3" w:name="_Ref166267341"/>
      <w:r>
        <w:rPr>
          <w:rFonts w:ascii="Times New Roman" w:hAnsi="Times New Roman" w:cs="Times New Roman"/>
          <w:b w:val="0"/>
          <w:bCs w:val="0"/>
        </w:rPr>
        <w:t xml:space="preserve">Заказчик, указанный в пункте </w:t>
      </w:r>
      <w:hyperlink w:tooltip="#_Наименование,_место_нахождения," w:anchor="_Наименование,_место_нахождения,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2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соответственно (далее по тексту ссылки на разделы, подразделы, пункты и подпункты относятся исключительн</w:t>
      </w:r>
      <w:r>
        <w:rPr>
          <w:rFonts w:ascii="Times New Roman" w:hAnsi="Times New Roman" w:cs="Times New Roman"/>
          <w:b w:val="0"/>
          <w:bCs w:val="0"/>
        </w:rPr>
        <w:t xml:space="preserve">о к настоящей документации о закупке, если рядом с такой ссылкой не указано иного), проводит закупку, предмет и условия которой указаны в </w:t>
      </w:r>
      <w:hyperlink w:tooltip="#_РАЗДЕЛ_I_3_ИНФОРМАЦИОННАЯ_КАРТА_КОН" w:anchor="_РАЗДЕЛ_I_3_ИНФОРМАЦИОННАЯ_КАРТА_КОН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части II «ИНФОРМАЦИ</w:t>
        </w:r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в соответствии с процедурами, условиями и положениями настоящей документации о закупке.</w:t>
      </w:r>
      <w:bookmarkEnd w:id="13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</w:t>
      </w:r>
      <w:r>
        <w:rPr>
          <w:rFonts w:ascii="Times New Roman" w:hAnsi="Times New Roman" w:cs="Times New Roman"/>
          <w:b w:val="0"/>
          <w:bCs w:val="0"/>
        </w:rPr>
        <w:t xml:space="preserve">еделены Стандартом.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пункте </w:t>
      </w:r>
      <w:hyperlink w:tooltip="#_Наименование,_место_нахождения," w:anchor="_Наименование,_место_нахождения,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2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5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4" w:name="_Toc6"/>
      <w:r>
        <w:rPr>
          <w:sz w:val="24"/>
          <w:szCs w:val="24"/>
        </w:rPr>
        <w:t xml:space="preserve">Начальная (максимальная) цена </w:t>
      </w:r>
      <w:r>
        <w:rPr>
          <w:sz w:val="24"/>
          <w:szCs w:val="24"/>
        </w:rPr>
        <w:t xml:space="preserve">договора (цена лота) </w:t>
      </w:r>
      <w:bookmarkEnd w:id="1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закупке и в пункте </w:t>
      </w:r>
      <w:hyperlink w:tooltip="#_Сведения_о_начальной" w:anchor="_Сведения_о_начальной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 Начальная (максимальная) цена договора (цена лота) может быть указана Заказчиком в виде </w:t>
      </w:r>
      <w:r>
        <w:rPr>
          <w:rFonts w:ascii="Times New Roman" w:hAnsi="Times New Roman" w:cs="Times New Roman"/>
          <w:b w:val="0"/>
        </w:rPr>
        <w:t xml:space="preserve"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</w:t>
      </w:r>
      <w:r>
        <w:rPr>
          <w:rFonts w:ascii="Times New Roman" w:hAnsi="Times New Roman" w:cs="Times New Roman"/>
          <w:b w:val="0"/>
        </w:rPr>
        <w:t xml:space="preserve">нителю, подрядчику) в ходе исполнения договора, и максимального значения цены договора, либо цены единицы товара, работы, услуги и максимальное значение цены договора. В случае если по результатам закупки в соответствии с условиями документации о закупке м</w:t>
      </w:r>
      <w:r>
        <w:rPr>
          <w:rFonts w:ascii="Times New Roman" w:hAnsi="Times New Roman" w:cs="Times New Roman"/>
          <w:b w:val="0"/>
        </w:rPr>
        <w:t xml:space="preserve">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Начальная (максимальная) цена каждого товара, раб</w:t>
      </w:r>
      <w:r>
        <w:rPr>
          <w:rFonts w:ascii="Times New Roman" w:hAnsi="Times New Roman" w:cs="Times New Roman"/>
          <w:b w:val="0"/>
        </w:rPr>
        <w:t xml:space="preserve">оты, услуги, являющихся предметом закупки, составляет значения, указанные в </w:t>
      </w:r>
      <w:hyperlink w:tooltip="#_Приложение_№_2" w:anchor="_Приложение_2" w:history="1">
        <w:r>
          <w:rPr>
            <w:rStyle w:val="1364"/>
            <w:rFonts w:ascii="Times New Roman" w:hAnsi="Times New Roman" w:cs="Times New Roman"/>
            <w:b w:val="0"/>
          </w:rPr>
          <w:t xml:space="preserve">Приложении № 2 к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5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5" w:name="_1.4._Требо"/>
      <w:r/>
      <w:bookmarkStart w:id="16" w:name="_Требования_к_участникам"/>
      <w:r/>
      <w:bookmarkStart w:id="17" w:name="_Toc7"/>
      <w:r/>
      <w:bookmarkEnd w:id="15"/>
      <w:r/>
      <w:bookmarkEnd w:id="16"/>
      <w:r>
        <w:rPr>
          <w:sz w:val="24"/>
          <w:szCs w:val="24"/>
        </w:rPr>
        <w:t xml:space="preserve">Требования к участникам закупки</w:t>
      </w:r>
      <w:bookmarkEnd w:id="1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Участником закупки может быть: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499"/>
        <w:numPr>
          <w:ilvl w:val="3"/>
          <w:numId w:val="25"/>
        </w:numPr>
        <w:ind w:left="0" w:firstLine="567"/>
        <w:widowControl w:val="off"/>
        <w:tabs>
          <w:tab w:val="left" w:pos="1418" w:leader="none"/>
        </w:tabs>
        <w:rPr>
          <w:rFonts w:eastAsiaTheme="minorHAnsi"/>
          <w:sz w:val="24"/>
          <w:szCs w:val="24"/>
          <w:lang w:eastAsia="en-US"/>
        </w:rPr>
      </w:pPr>
      <w:r>
        <w:rPr>
          <w:b/>
          <w:bCs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люб</w:t>
      </w:r>
      <w:r>
        <w:rPr>
          <w:rFonts w:eastAsiaTheme="minorHAnsi"/>
          <w:sz w:val="24"/>
          <w:szCs w:val="24"/>
          <w:lang w:eastAsia="en-US"/>
        </w:rPr>
        <w:t xml:space="preserve">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</w:t>
      </w:r>
      <w:r>
        <w:rPr>
          <w:rFonts w:eastAsiaTheme="minorHAnsi"/>
          <w:sz w:val="24"/>
          <w:szCs w:val="24"/>
          <w:lang w:eastAsia="en-US"/>
        </w:rPr>
        <w:t xml:space="preserve">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</w:t>
      </w:r>
      <w:hyperlink r:id="rId16" w:tooltip="https://www.consultant.ru/document/cons_doc_LAW_421788/?ysclid=lh7gcn0ch0337012251" w:history="1">
        <w:r>
          <w:rPr>
            <w:rStyle w:val="1364"/>
            <w:rFonts w:eastAsiaTheme="minorHAnsi"/>
            <w:sz w:val="24"/>
            <w:szCs w:val="24"/>
            <w:lang w:eastAsia="en-US"/>
          </w:rPr>
          <w:t xml:space="preserve">Федеральным законом от 14 июля 2022 года № 255-ФЗ «О контроле за деятельностью лиц, находящихся под иностранным влиянием»</w:t>
        </w:r>
      </w:hyperlink>
      <w:r>
        <w:rPr>
          <w:rFonts w:eastAsiaTheme="minorHAnsi"/>
          <w:sz w:val="24"/>
          <w:szCs w:val="24"/>
          <w:lang w:eastAsia="en-US"/>
        </w:rPr>
        <w:t xml:space="preserve">, если иное </w:t>
      </w:r>
      <w:r>
        <w:rPr>
          <w:rFonts w:eastAsiaTheme="minorHAnsi"/>
          <w:sz w:val="24"/>
          <w:szCs w:val="24"/>
          <w:lang w:eastAsia="en-US"/>
        </w:rPr>
        <w:t xml:space="preserve">не предусмотрено законодательством Российской Федерации;</w:t>
      </w:r>
      <w:r>
        <w:rPr>
          <w:rFonts w:eastAsiaTheme="minorHAnsi"/>
          <w:sz w:val="24"/>
          <w:szCs w:val="24"/>
          <w:lang w:eastAsia="en-US"/>
        </w:rPr>
      </w:r>
      <w:r>
        <w:rPr>
          <w:rFonts w:eastAsiaTheme="minorHAnsi"/>
          <w:sz w:val="24"/>
          <w:szCs w:val="24"/>
          <w:lang w:eastAsia="en-US"/>
        </w:rPr>
      </w:r>
    </w:p>
    <w:p>
      <w:pPr>
        <w:pStyle w:val="1499"/>
        <w:numPr>
          <w:ilvl w:val="3"/>
          <w:numId w:val="25"/>
        </w:numPr>
        <w:ind w:left="0" w:firstLine="567"/>
        <w:widowControl w:val="off"/>
        <w:tabs>
          <w:tab w:val="left" w:pos="1418" w:leader="none"/>
        </w:tabs>
        <w:rPr>
          <w:b/>
          <w:bCs/>
        </w:rPr>
      </w:pPr>
      <w:r>
        <w:rPr>
          <w:sz w:val="24"/>
          <w:szCs w:val="24"/>
        </w:rPr>
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</w:t>
      </w:r>
      <w:r>
        <w:rPr>
          <w:sz w:val="24"/>
          <w:szCs w:val="24"/>
        </w:rPr>
        <w:t xml:space="preserve">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иностранным агентом </w:t>
      </w:r>
      <w:r>
        <w:rPr>
          <w:sz w:val="24"/>
          <w:szCs w:val="24"/>
        </w:rPr>
        <w:t xml:space="preserve">в соответствии с </w:t>
      </w:r>
      <w:hyperlink r:id="rId17" w:tooltip="https://www.consultant.ru/document/cons_doc_LAW_421788/?ysclid=lh7gd9qdev457426157" w:history="1">
        <w:r>
          <w:rPr>
            <w:rStyle w:val="1364"/>
            <w:sz w:val="24"/>
            <w:szCs w:val="24"/>
          </w:rPr>
          <w:t xml:space="preserve">Федеральным законом от 14 июля 2022 года № 255-ФЗ «О</w:t>
        </w:r>
        <w:r>
          <w:rPr>
            <w:rStyle w:val="1364"/>
            <w:sz w:val="24"/>
            <w:szCs w:val="24"/>
          </w:rPr>
          <w:t xml:space="preserve"> контроле за деятельностью лиц, находящихся под иностранным влиянием»</w:t>
        </w:r>
      </w:hyperlink>
      <w:r>
        <w:rPr>
          <w:rStyle w:val="1364"/>
          <w:sz w:val="24"/>
          <w:szCs w:val="24"/>
        </w:rPr>
        <w:t xml:space="preserve">.</w:t>
      </w:r>
      <w:r>
        <w:rPr>
          <w:b/>
          <w:bCs/>
        </w:rPr>
      </w:r>
      <w:r>
        <w:rPr>
          <w:b/>
          <w:bCs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</w:t>
      </w:r>
      <w:r>
        <w:rPr>
          <w:rFonts w:ascii="Times New Roman" w:hAnsi="Times New Roman" w:cs="Times New Roman"/>
          <w:b w:val="0"/>
          <w:bCs w:val="0"/>
        </w:rPr>
        <w:t xml:space="preserve">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8" w:name="_Участник_закупки_для"/>
      <w:r/>
      <w:bookmarkStart w:id="19" w:name="_Ref166312025"/>
      <w:r/>
      <w:bookmarkEnd w:id="18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закупке, должен удовлетворять требованиям, установленным в пункте </w:t>
      </w:r>
      <w:hyperlink w:tooltip="#_Единые_требования_к" w:anchor="_Единые_требования_к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14 части II «ИНФОРМАЦИОН</w:t>
        </w:r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Требования,_установленные_в" w:anchor="_Требования,_установленные_в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15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Квалификационные_требования_к" w:anchor="_Квалификационные_требования_к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16 части II «ИНФОРМАЦИ</w:t>
        </w:r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ОННАЯ КАРТА ЗАКУПКИ»</w:t>
        </w:r>
      </w:hyperlink>
      <w:r/>
      <w:bookmarkEnd w:id="19"/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в составе заявки должен указать сведения о наличии/отсутствии конфликта интересов и/или связей, носящих характер аффилированности с работниками Заказчика/Организатора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в составе заявки должен пр</w:t>
      </w:r>
      <w:r>
        <w:rPr>
          <w:rFonts w:ascii="Times New Roman" w:hAnsi="Times New Roman" w:cs="Times New Roman"/>
          <w:b w:val="0"/>
          <w:bCs w:val="0"/>
        </w:rPr>
        <w:t xml:space="preserve">едоставить справку о цепочке собственников участника закупки, включая бенефициаров (в том числе конечных).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в составе заявки должен ознакомится с требованиями Антикоррупционной политики Заказчика и выразить согласие с принимаемыми заказчиком антико</w:t>
      </w:r>
      <w:r>
        <w:rPr>
          <w:rFonts w:ascii="Times New Roman" w:hAnsi="Times New Roman" w:cs="Times New Roman"/>
          <w:b w:val="0"/>
          <w:bCs w:val="0"/>
        </w:rPr>
        <w:t xml:space="preserve">ррупционными мерами.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</w:t>
      </w:r>
      <w:hyperlink r:id="rId18" w:tooltip="http://www.consultant.ru/document/cons_doc_LAW_116964/" w:history="1">
        <w:r>
          <w:rPr>
            <w:rStyle w:val="1364"/>
            <w:rFonts w:ascii="Times New Roman" w:hAnsi="Times New Roman" w:cs="Times New Roman"/>
            <w:b w:val="0"/>
          </w:rPr>
          <w:t xml:space="preserve">Законом 223-</w:t>
        </w:r>
        <w:r>
          <w:rPr>
            <w:rStyle w:val="1364"/>
            <w:rFonts w:ascii="Times New Roman" w:hAnsi="Times New Roman" w:cs="Times New Roman"/>
            <w:b w:val="0"/>
          </w:rPr>
          <w:t xml:space="preserve">ФЗ</w:t>
        </w:r>
      </w:hyperlink>
      <w:r>
        <w:rPr>
          <w:rFonts w:ascii="Times New Roman" w:hAnsi="Times New Roman" w:cs="Times New Roman"/>
          <w:b w:val="0"/>
        </w:rPr>
        <w:t xml:space="preserve">, и (или) в реестре недобросовестных поставщиков, предусмотренном </w:t>
      </w:r>
      <w:hyperlink r:id="rId19" w:tooltip="https://www.consultant.ru/document/cons_doc_LAW_144624/?ysclid=lh7gqoclg7259684790" w:history="1">
        <w:r>
          <w:rPr>
            <w:rStyle w:val="1364"/>
            <w:rFonts w:ascii="Times New Roman" w:hAnsi="Times New Roman" w:cs="Times New Roman"/>
            <w:b w:val="0"/>
          </w:rPr>
          <w:t xml:space="preserve">Федеральным законом от 5 апреля 2013 года № 44-ФЗ «О контрактной системе в сфере закупок товаров, работ, услуг для обеспечения государственных и муниципальных нужд»</w:t>
        </w:r>
      </w:hyperlink>
      <w:r>
        <w:rPr>
          <w:rFonts w:ascii="Times New Roman" w:hAnsi="Times New Roman" w:cs="Times New Roman"/>
          <w:b w:val="0"/>
        </w:rPr>
        <w:t xml:space="preserve">, если такое требование установлено Заказчиком, в</w:t>
      </w:r>
      <w:r>
        <w:rPr>
          <w:rFonts w:ascii="Times New Roman" w:hAnsi="Times New Roman" w:cs="Times New Roman"/>
          <w:b w:val="0"/>
        </w:rPr>
        <w:t xml:space="preserve"> пункте </w:t>
      </w:r>
      <w:hyperlink w:tooltip="#_Единые_требования_к" w:anchor="_Единые_требования_к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14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</w:t>
      </w:r>
      <w:r>
        <w:rPr>
          <w:rFonts w:ascii="Times New Roman" w:hAnsi="Times New Roman" w:cs="Times New Roman"/>
          <w:b w:val="0"/>
        </w:rPr>
        <w:t xml:space="preserve"> в состав коллективного участника, должно отвечать требованиям настоящей документации о закупке в части требований, не подлежащих суммированию (наличию гражданской правоспособности в полном объеме, не нахождения в процессе ликвидации, отсутствия в реестре </w:t>
      </w:r>
      <w:r>
        <w:rPr>
          <w:rFonts w:ascii="Times New Roman" w:hAnsi="Times New Roman" w:cs="Times New Roman"/>
          <w:b w:val="0"/>
        </w:rPr>
        <w:t xml:space="preserve">недобросовестных поставщиков и т.п.).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распределением поставок, работ, услуг</w:t>
      </w:r>
      <w:r>
        <w:rPr>
          <w:rFonts w:ascii="Times New Roman" w:hAnsi="Times New Roman" w:cs="Times New Roman"/>
          <w:b w:val="0"/>
        </w:rPr>
        <w:t xml:space="preserve"> между членами коллективного участника.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документации о закупке требованиям оцениваетс</w:t>
      </w:r>
      <w:r>
        <w:rPr>
          <w:rFonts w:ascii="Times New Roman" w:hAnsi="Times New Roman" w:cs="Times New Roman"/>
          <w:b w:val="0"/>
        </w:rPr>
        <w:t xml:space="preserve">я в соответствии с распределением поставок, работ, услуг между членами коллективного участника.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</w:t>
      </w:r>
      <w:r>
        <w:rPr>
          <w:rFonts w:ascii="Times New Roman" w:hAnsi="Times New Roman" w:cs="Times New Roman"/>
          <w:b w:val="0"/>
        </w:rPr>
        <w:t xml:space="preserve">тоятельно либо в качестве субподрядчиков (субпоставщиков) у других участников закупки. В случае невыполнения этих требований заявки с участием таких лиц будут отклонены без рассмотрения по существу. Любое юридическое или индивидуальный предприниматель, не </w:t>
      </w:r>
      <w:r>
        <w:rPr>
          <w:rFonts w:ascii="Times New Roman" w:hAnsi="Times New Roman" w:cs="Times New Roman"/>
          <w:b w:val="0"/>
        </w:rPr>
        <w:t xml:space="preserve">принимающее участие в данной закупке самостоятельно либо в составе коллективного участника может являться субподрядчиком/соисполнителем у произвольного числа участников закупки.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0" w:name="_Ref535962934"/>
      <w:r>
        <w:rPr>
          <w:rFonts w:ascii="Times New Roman" w:hAnsi="Times New Roman" w:cs="Times New Roman"/>
          <w:b w:val="0"/>
          <w:bCs w:val="0"/>
        </w:rPr>
        <w:t xml:space="preserve">В случае закупки работ по проектированию, строительству, модернизации и ремонт</w:t>
      </w:r>
      <w:r>
        <w:rPr>
          <w:rFonts w:ascii="Times New Roman" w:hAnsi="Times New Roman" w:cs="Times New Roman"/>
          <w:b w:val="0"/>
          <w:bCs w:val="0"/>
        </w:rPr>
        <w:t xml:space="preserve">у особо опасных, технически сложных объектов капитального строительства и закупки товаров, работ, услуг,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</w:t>
      </w:r>
      <w:r>
        <w:rPr>
          <w:rFonts w:ascii="Times New Roman" w:hAnsi="Times New Roman" w:cs="Times New Roman"/>
          <w:b w:val="0"/>
          <w:bCs w:val="0"/>
        </w:rPr>
        <w:t xml:space="preserve"> субподрядчикам, соисполнителям и (или) изготовителям товара, являющегося предметом закупки, и перечень документов, представляемых участниками такой закупки для подтверждения их соответствия указанным требованиям. Информация об установлении таких требовани</w:t>
      </w:r>
      <w:r>
        <w:rPr>
          <w:rFonts w:ascii="Times New Roman" w:hAnsi="Times New Roman" w:cs="Times New Roman"/>
          <w:b w:val="0"/>
          <w:bCs w:val="0"/>
        </w:rPr>
        <w:t xml:space="preserve">й указывается в пункте </w:t>
      </w:r>
      <w:bookmarkEnd w:id="20"/>
      <w:r>
        <w:fldChar w:fldCharType="begin"/>
      </w:r>
      <w:r>
        <w:instrText xml:space="preserve"> HYPERLINK \l "_Единые_требования_к" </w:instrText>
      </w:r>
      <w:r>
        <w:fldChar w:fldCharType="separate"/>
      </w:r>
      <w:r>
        <w:rPr>
          <w:rStyle w:val="1364"/>
          <w:rFonts w:ascii="Times New Roman" w:hAnsi="Times New Roman" w:cs="Times New Roman"/>
          <w:b w:val="0"/>
          <w:bCs w:val="0"/>
        </w:rPr>
        <w:t xml:space="preserve">14 части II «ИНФОРМАЦИОННАЯ КАРТА ЗАКУПКИ»</w:t>
      </w:r>
      <w:r>
        <w:rPr>
          <w:rStyle w:val="1364"/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Требования,_установленные_в" w:anchor="_Требования,_установленные_в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15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Квалификационные_требования_к" w:anchor="_Квалификационные_требования_к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16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5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left" w:pos="1276" w:leader="none"/>
        </w:tabs>
        <w:rPr>
          <w:sz w:val="24"/>
          <w:szCs w:val="24"/>
        </w:rPr>
      </w:pPr>
      <w:r/>
      <w:bookmarkStart w:id="21" w:name="_Toc8"/>
      <w:r>
        <w:rPr>
          <w:sz w:val="24"/>
          <w:szCs w:val="24"/>
        </w:rPr>
        <w:t xml:space="preserve">Привлечение соисполнителей (субподрядчиков) к исполнению договора</w:t>
      </w:r>
      <w:bookmarkEnd w:id="2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</w:t>
      </w:r>
      <w:r>
        <w:rPr>
          <w:rFonts w:ascii="Times New Roman" w:hAnsi="Times New Roman" w:cs="Times New Roman"/>
          <w:b w:val="0"/>
          <w:bCs w:val="0"/>
        </w:rPr>
        <w:t xml:space="preserve">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</w:t>
      </w:r>
      <w:bookmarkStart w:id="22" w:name="_Ref354131841"/>
      <w:r/>
      <w:bookmarkStart w:id="23" w:name="_Ref11495519"/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" w:name="_Toc9"/>
      <w:r/>
      <w:bookmarkEnd w:id="22"/>
      <w:r>
        <w:rPr>
          <w:sz w:val="24"/>
          <w:szCs w:val="24"/>
        </w:rPr>
        <w:t xml:space="preserve">Расходы на участие в закупке и при заключении договора</w:t>
      </w:r>
      <w:bookmarkEnd w:id="2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несет все расходы,</w:t>
      </w:r>
      <w:r>
        <w:rPr>
          <w:rFonts w:ascii="Times New Roman" w:hAnsi="Times New Roman" w:cs="Times New Roman"/>
          <w:b w:val="0"/>
          <w:bCs w:val="0"/>
        </w:rPr>
        <w:t xml:space="preserve"> связанные с подготовкой и подачей заявки на участие в закупке, участием в закупке и заключением </w:t>
      </w:r>
      <w:bookmarkEnd w:id="23"/>
      <w:r>
        <w:rPr>
          <w:rFonts w:ascii="Times New Roman" w:hAnsi="Times New Roman" w:cs="Times New Roman"/>
          <w:b w:val="0"/>
          <w:bCs w:val="0"/>
        </w:rPr>
        <w:t xml:space="preserve">договора, а Заказчик не имеет обязательств в связи с такими расходами, за исключением случаев, прямо предусмотренных законодательством Российской Федерации.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5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num" w:pos="0" w:leader="none"/>
          <w:tab w:val="clear" w:pos="576" w:leader="none"/>
        </w:tabs>
      </w:pPr>
      <w:r/>
      <w:bookmarkStart w:id="25" w:name="_Toc10"/>
      <w:r/>
      <w:bookmarkStart w:id="26" w:name="_Hlk188373250"/>
      <w:r/>
      <w:bookmarkEnd w:id="11"/>
      <w:r>
        <w:rPr>
          <w:sz w:val="24"/>
          <w:szCs w:val="24"/>
        </w:rPr>
        <w:t xml:space="preserve">Пр</w:t>
      </w:r>
      <w:r>
        <w:rPr>
          <w:sz w:val="24"/>
          <w:szCs w:val="24"/>
        </w:rPr>
        <w:t xml:space="preserve">едоставление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</w:r>
      <w:bookmarkEnd w:id="25"/>
      <w:r/>
      <w:r/>
    </w:p>
    <w:p>
      <w:pPr>
        <w:pStyle w:val="1146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Запрет или ограничение закупки работ, услуг, соответстве</w:t>
      </w:r>
      <w:r>
        <w:rPr>
          <w:rFonts w:ascii="Times New Roman" w:hAnsi="Times New Roman" w:cs="Times New Roman"/>
          <w:b w:val="0"/>
          <w:bCs w:val="0"/>
        </w:rPr>
        <w:t xml:space="preserve">нно выполняемых, оказываемых иностранными лицами, устанавливаются в пункте </w:t>
      </w:r>
      <w:hyperlink w:tooltip="#_Сведения_о_предоставлении" w:anchor="_Информация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12 части II </w:t>
        </w:r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«ИНФОРМАЦИОННОЙ КАРТЫ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в соответствии c требованиями п. 4.5 </w:t>
      </w:r>
      <w:hyperlink r:id="rId20" w:tooltip="https://zakupki.gov.ru/epz/orderclause/card/common-info.html?orderClauseInfoId=967865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Единого стандарта закупок ПАО «Россети»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и </w:t>
      </w:r>
      <w:hyperlink r:id="rId21" w:tooltip="https://www.consultant.ru/document/cons_doc_LAW_494318/92d969e26a4326c5d02fa79b8f9cf4994ee5633b/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Постановления Правительства РФ от 23.12.2024 № 1875 «О мерах по </w:t>
        </w:r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</w:r>
      </w:hyperlink>
      <w:r>
        <w:rPr>
          <w:rFonts w:ascii="Times New Roman" w:hAnsi="Times New Roman" w:cs="Times New Roman"/>
          <w:b w:val="0"/>
          <w:bCs w:val="0"/>
        </w:rPr>
        <w:t xml:space="preserve"> (далее – ПП 1875).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5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num" w:pos="0" w:leader="none"/>
          <w:tab w:val="clear" w:pos="576" w:leader="none"/>
        </w:tabs>
        <w:rPr>
          <w:b w:val="0"/>
        </w:rPr>
      </w:pPr>
      <w:r/>
      <w:bookmarkStart w:id="27" w:name="_Toc11"/>
      <w:r>
        <w:rPr>
          <w:sz w:val="24"/>
          <w:szCs w:val="24"/>
        </w:rPr>
        <w:t xml:space="preserve">Антимонопольная оговорка</w:t>
      </w:r>
      <w:bookmarkEnd w:id="27"/>
      <w:r>
        <w:rPr>
          <w:b w:val="0"/>
        </w:rPr>
      </w:r>
      <w:r>
        <w:rPr>
          <w:b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может ознакомиться с Политикой антимонопольного комплаенса АО «Россети Янтарь», представленной в разделе «Политика антимонопольного комплаенса» на официальном сайте АО «Россети Янтарь» по адресу в сети Интернет </w:t>
      </w:r>
      <w:hyperlink r:id="rId22" w:tooltip="https://www.rosseti-yantar.ru/about/politiks/antimonopolnyy-komplaens/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https://www.rosseti-yantar.ru/about/politiks/antimonopolnyy-komplaens/</w:t>
        </w:r>
      </w:hyperlink>
      <w:r>
        <w:rPr>
          <w:rFonts w:ascii="Times New Roman" w:hAnsi="Times New Roman" w:cs="Times New Roman"/>
          <w:b w:val="0"/>
          <w:bCs w:val="0"/>
        </w:rPr>
        <w:t xml:space="preserve"> (далее – Антимонопольная политика).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при принятии </w:t>
      </w:r>
      <w:r>
        <w:rPr>
          <w:rFonts w:ascii="Times New Roman" w:hAnsi="Times New Roman" w:cs="Times New Roman"/>
          <w:b w:val="0"/>
          <w:bCs w:val="0"/>
        </w:rPr>
        <w:t xml:space="preserve">участия в настоящей закупочной процедуре, его работники, представители, учитывают требования действующего Федерального закона от 26.07.2006 № 135-ФЗ «О защите конкуренции», а также иных федеральных законов, нормативных правовых актов, регулирующих отношени</w:t>
      </w:r>
      <w:r>
        <w:rPr>
          <w:rFonts w:ascii="Times New Roman" w:hAnsi="Times New Roman" w:cs="Times New Roman"/>
          <w:b w:val="0"/>
          <w:bCs w:val="0"/>
        </w:rPr>
        <w:t xml:space="preserve">я, связанные с защитой конкуренции, предупреждением и пресечением монополистической деятельности и недобросовестной конкуренции (далее- Антимонопольное законодательство), Федерального закона от 18.07.2011 № 223-ФЗ «О закупках товаров, работ, услуг отдельны</w:t>
      </w:r>
      <w:r>
        <w:rPr>
          <w:rFonts w:ascii="Times New Roman" w:hAnsi="Times New Roman" w:cs="Times New Roman"/>
          <w:b w:val="0"/>
          <w:bCs w:val="0"/>
        </w:rPr>
        <w:t xml:space="preserve">ми видами юридических лиц», неукоснительно ими руководствуются и осознают серьезность последствий, к которым может привести их несоблюдение.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возникновения у Участника подозрений, что произошло или может произойти нарушение каких-либо положений Ант</w:t>
      </w:r>
      <w:r>
        <w:rPr>
          <w:rFonts w:ascii="Times New Roman" w:hAnsi="Times New Roman" w:cs="Times New Roman"/>
          <w:b w:val="0"/>
          <w:bCs w:val="0"/>
        </w:rPr>
        <w:t xml:space="preserve">имонопольного законодательства, либо Закона 223-ФЗ, он обязуется уведомить об этом Организатора закупки в письменной форме. В письменном уведомлении Сторона обязана сослаться на факты или предоставить материалы, достоверно подтверждающие или дающие основан</w:t>
      </w:r>
      <w:r>
        <w:rPr>
          <w:rFonts w:ascii="Times New Roman" w:hAnsi="Times New Roman" w:cs="Times New Roman"/>
          <w:b w:val="0"/>
          <w:bCs w:val="0"/>
        </w:rPr>
        <w:t xml:space="preserve">ие предполагать, что произошло или может произойти нарушение каких-либо положений Антимонопольного законодательства со стороны Организатора закупки, его аффилированных лиц, работников или посредников.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Направить уведомление АО «Россети Янтарь» можно почтой </w:t>
      </w:r>
      <w:r>
        <w:rPr>
          <w:rFonts w:ascii="Times New Roman" w:hAnsi="Times New Roman" w:cs="Times New Roman"/>
          <w:b w:val="0"/>
          <w:bCs w:val="0"/>
        </w:rPr>
        <w:t xml:space="preserve">по адресу: 236035, а/я 5065 или через форму обратной связи на сайте Общества.</w:t>
      </w:r>
      <w:bookmarkEnd w:id="26"/>
      <w:r>
        <w:rPr>
          <w:b w:val="0"/>
        </w:rPr>
      </w:r>
      <w:r>
        <w:rPr>
          <w:b w:val="0"/>
        </w:rPr>
      </w:r>
    </w:p>
    <w:p>
      <w:pPr>
        <w:pStyle w:val="1457"/>
        <w:ind w:left="851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144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8" w:name="_Toc12"/>
      <w:r>
        <w:rPr>
          <w:sz w:val="24"/>
          <w:szCs w:val="24"/>
        </w:rPr>
        <w:t xml:space="preserve">ДОКУМЕНТАЦИЯ О ЗАКУПКЕ</w:t>
      </w:r>
      <w:bookmarkEnd w:id="2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5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9" w:name="_Ref11225592"/>
      <w:r/>
      <w:bookmarkStart w:id="30" w:name="_Toc13"/>
      <w:r>
        <w:rPr>
          <w:sz w:val="24"/>
          <w:szCs w:val="24"/>
        </w:rPr>
        <w:t xml:space="preserve">Предоставление документации</w:t>
      </w:r>
      <w:bookmarkEnd w:id="29"/>
      <w:r>
        <w:rPr>
          <w:sz w:val="24"/>
          <w:szCs w:val="24"/>
        </w:rPr>
        <w:t xml:space="preserve"> о закупке</w:t>
      </w:r>
      <w:bookmarkEnd w:id="3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1" w:name="_Ref166101804"/>
      <w:r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</w:t>
      </w:r>
      <w:r>
        <w:rPr>
          <w:rFonts w:ascii="Times New Roman" w:hAnsi="Times New Roman" w:cs="Times New Roman"/>
          <w:b w:val="0"/>
          <w:bCs w:val="0"/>
        </w:rPr>
        <w:t xml:space="preserve">е Единой информационной системы </w:t>
      </w:r>
      <w:hyperlink r:id="rId23" w:tooltip="www.zakupki.gov.ru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www.zakupki.gov.ru</w:t>
        </w:r>
      </w:hyperlink>
      <w:r>
        <w:rPr>
          <w:rFonts w:ascii="Times New Roman" w:hAnsi="Times New Roman" w:cs="Times New Roman"/>
          <w:b w:val="0"/>
          <w:bCs w:val="0"/>
        </w:rPr>
        <w:t xml:space="preserve">, а также на сайте электронной торговой площа</w:t>
      </w:r>
      <w:r>
        <w:rPr>
          <w:rFonts w:ascii="Times New Roman" w:hAnsi="Times New Roman" w:cs="Times New Roman"/>
          <w:b w:val="0"/>
          <w:bCs w:val="0"/>
        </w:rPr>
        <w:t xml:space="preserve">дки (далее – ЭТП), указанной в пункте </w:t>
      </w:r>
      <w:hyperlink w:tooltip="#_Адрес_электронной_площадки" w:anchor="_Адрес_электронной_площадки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10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31"/>
      <w:r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устанавливается Заказчиком в извещении о за</w:t>
      </w:r>
      <w:r>
        <w:rPr>
          <w:rFonts w:ascii="Times New Roman" w:hAnsi="Times New Roman" w:cs="Times New Roman"/>
          <w:b w:val="0"/>
          <w:bCs w:val="0"/>
        </w:rPr>
        <w:t xml:space="preserve">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5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32" w:name="_Toc14"/>
      <w:r>
        <w:rPr>
          <w:sz w:val="24"/>
          <w:szCs w:val="24"/>
        </w:rPr>
        <w:t xml:space="preserve">Разъяснение положений документации о закупке</w:t>
      </w:r>
      <w:bookmarkEnd w:id="3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3" w:name="_Ref166349349"/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средствами электронной площадки Заказчику запрос о даче разъяснений положений документации о закупке. Порядок подачи запроса на разъяснения положений документации о</w:t>
      </w:r>
      <w:r>
        <w:rPr>
          <w:rFonts w:ascii="Times New Roman" w:hAnsi="Times New Roman" w:cs="Times New Roman"/>
          <w:b w:val="0"/>
          <w:bCs w:val="0"/>
        </w:rPr>
        <w:t xml:space="preserve"> закупке определяется </w:t>
      </w:r>
      <w:r>
        <w:rPr>
          <w:rFonts w:ascii="Times New Roman" w:hAnsi="Times New Roman" w:cs="Times New Roman"/>
          <w:b w:val="0"/>
        </w:rPr>
        <w:t xml:space="preserve">Регламентом работы ЭТП</w:t>
      </w:r>
      <w:r>
        <w:rPr>
          <w:rFonts w:ascii="Times New Roman" w:hAnsi="Times New Roman" w:cs="Times New Roman"/>
          <w:b w:val="0"/>
          <w:bCs w:val="0"/>
        </w:rPr>
        <w:t xml:space="preserve">. Дата и время окончания срока предоставления участникам закупки разъяснений положений документации о закупке указаны в пункте </w:t>
      </w:r>
      <w:hyperlink w:tooltip="#_Порядок,_дата_начала," w:anchor="_Порядок,_дата_начала,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9 части II «ИН</w:t>
        </w:r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Заказчик осуществляет разъяснение положений документации о закупке и размещает их в ЕИС с указанием предмета запроса, но без указания участника такой закупки, от которого </w:t>
      </w:r>
      <w:r>
        <w:rPr>
          <w:rFonts w:ascii="Times New Roman" w:hAnsi="Times New Roman" w:cs="Times New Roman"/>
          <w:b w:val="0"/>
          <w:bCs w:val="0"/>
        </w:rPr>
        <w:t xml:space="preserve">поступил указанный запрос. При этом Заказчик вправе не осуществлять такое разъяснение </w:t>
      </w:r>
      <w:r>
        <w:rPr>
          <w:rFonts w:ascii="Times New Roman" w:hAnsi="Times New Roman" w:cs="Times New Roman"/>
          <w:b w:val="0"/>
          <w:bCs w:val="0"/>
        </w:rPr>
        <w:t xml:space="preserve">в случае, если указанный запрос поступил позднее чем за 3 (три) рабочих дня до даты окончания срока подачи заявок на участие в такой закупке. </w:t>
      </w:r>
      <w:bookmarkEnd w:id="33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докум</w:t>
      </w:r>
      <w:r>
        <w:rPr>
          <w:rFonts w:ascii="Times New Roman" w:hAnsi="Times New Roman" w:cs="Times New Roman"/>
          <w:b w:val="0"/>
          <w:bCs w:val="0"/>
        </w:rPr>
        <w:t xml:space="preserve">ентации о закупке не должны изменять предмет закупки и существенные условия проекта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34" w:name="_Ref119429410"/>
      <w:r/>
      <w:bookmarkStart w:id="35" w:name="_Toc15"/>
      <w:r>
        <w:rPr>
          <w:sz w:val="24"/>
          <w:szCs w:val="24"/>
        </w:rPr>
        <w:t xml:space="preserve">Внесение изменений в извещение о </w:t>
      </w:r>
      <w:bookmarkEnd w:id="34"/>
      <w:r>
        <w:rPr>
          <w:sz w:val="24"/>
          <w:szCs w:val="24"/>
        </w:rPr>
        <w:t xml:space="preserve">закупке и/или документацию о закупке</w:t>
      </w:r>
      <w:bookmarkEnd w:id="3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Заказчик может по любой причине внести изменения в извещени</w:t>
      </w:r>
      <w:r>
        <w:rPr>
          <w:rFonts w:ascii="Times New Roman" w:hAnsi="Times New Roman" w:cs="Times New Roman"/>
          <w:b w:val="0"/>
          <w:bCs w:val="0"/>
        </w:rPr>
        <w:t xml:space="preserve">е о закупке и/или документацию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Заказчиком 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 </w:t>
      </w:r>
      <w:r>
        <w:rPr>
          <w:rFonts w:ascii="Times New Roman" w:hAnsi="Times New Roman" w:cs="Times New Roman"/>
          <w:b w:val="0"/>
        </w:rPr>
        <w:t xml:space="preserve">срок подач</w:t>
      </w:r>
      <w:r>
        <w:rPr>
          <w:rFonts w:ascii="Times New Roman" w:hAnsi="Times New Roman" w:cs="Times New Roman"/>
          <w:b w:val="0"/>
        </w:rPr>
        <w:t xml:space="preserve">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</w:t>
      </w:r>
      <w:r>
        <w:rPr>
          <w:rFonts w:ascii="Times New Roman" w:hAnsi="Times New Roman" w:cs="Times New Roman"/>
          <w:b w:val="0"/>
        </w:rPr>
        <w:t xml:space="preserve">ого в Положении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закупке и/или документацию о закупке, размещенными надлежащим образом.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5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6" w:name="_Toc16"/>
      <w:r>
        <w:rPr>
          <w:sz w:val="24"/>
          <w:szCs w:val="24"/>
        </w:rPr>
        <w:t xml:space="preserve">Отмена закупки</w:t>
      </w:r>
      <w:bookmarkEnd w:id="3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7" w:name="_Ref166158219"/>
      <w:r>
        <w:rPr>
          <w:rFonts w:ascii="Times New Roman" w:hAnsi="Times New Roman" w:cs="Times New Roman"/>
          <w:b w:val="0"/>
          <w:bCs w:val="0"/>
        </w:rPr>
        <w:t xml:space="preserve">Заказчик вправе отменить закупку по одному и более предмету закупки (лоту) до наступления даты и времени окончания срока подачи заявок на участие в закупке.</w:t>
      </w:r>
      <w:bookmarkEnd w:id="37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8" w:name="_Ref166349406"/>
      <w:r>
        <w:rPr>
          <w:rFonts w:ascii="Times New Roman" w:hAnsi="Times New Roman" w:cs="Times New Roman"/>
          <w:b w:val="0"/>
          <w:bCs w:val="0"/>
        </w:rPr>
        <w:t xml:space="preserve">Решение об отмене закупки размещается Заказчиком в ЕИС в день принятия этого решения.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1144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9" w:name="_ТРЕБОВАНИЯ_К_СОДЕРЖАНИЮ"/>
      <w:r/>
      <w:bookmarkStart w:id="40" w:name="_Ref166159542"/>
      <w:r/>
      <w:bookmarkStart w:id="41" w:name="_Ref166159546"/>
      <w:r/>
      <w:bookmarkStart w:id="42" w:name="_Ref166250138"/>
      <w:r/>
      <w:bookmarkStart w:id="43" w:name="_Ref166250141"/>
      <w:r/>
      <w:bookmarkStart w:id="44" w:name="_Toc17"/>
      <w:r/>
      <w:bookmarkEnd w:id="38"/>
      <w:r/>
      <w:bookmarkEnd w:id="39"/>
      <w:r>
        <w:rPr>
          <w:sz w:val="24"/>
          <w:szCs w:val="24"/>
        </w:rPr>
        <w:t xml:space="preserve">ТРЕБОВАНИЯ К СОДЕРЖАНИЮ ЗАЯВКИ НА УЧАСТИЕ В </w:t>
      </w:r>
      <w:bookmarkEnd w:id="40"/>
      <w:r/>
      <w:bookmarkEnd w:id="41"/>
      <w:r/>
      <w:bookmarkEnd w:id="42"/>
      <w:r/>
      <w:bookmarkEnd w:id="43"/>
      <w:r>
        <w:rPr>
          <w:sz w:val="24"/>
          <w:szCs w:val="24"/>
        </w:rPr>
        <w:t xml:space="preserve">ЗАКУПКЕ</w:t>
      </w:r>
      <w:bookmarkEnd w:id="4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5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45" w:name="_Toc18"/>
      <w:r>
        <w:rPr>
          <w:sz w:val="24"/>
          <w:szCs w:val="24"/>
        </w:rPr>
        <w:t xml:space="preserve">Требования к оформлению заявки на участие в закупке</w:t>
      </w:r>
      <w:bookmarkEnd w:id="4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6" w:name="_Ref166246797"/>
      <w:r/>
      <w:bookmarkStart w:id="47" w:name="_Ref119429784"/>
      <w:r/>
      <w:bookmarkStart w:id="48" w:name="_Ref119429817"/>
      <w:r/>
      <w:bookmarkStart w:id="49" w:name="_Ref119430333"/>
      <w:r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</w:t>
      </w:r>
      <w:r>
        <w:rPr>
          <w:rFonts w:ascii="Times New Roman" w:hAnsi="Times New Roman" w:cs="Times New Roman"/>
          <w:b w:val="0"/>
          <w:bCs w:val="0"/>
        </w:rPr>
        <w:t xml:space="preserve">окументации о закупке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</w:t>
      </w:r>
      <w:r>
        <w:rPr>
          <w:rFonts w:ascii="Times New Roman" w:hAnsi="Times New Roman" w:cs="Times New Roman"/>
          <w:b w:val="0"/>
          <w:bCs w:val="0"/>
        </w:rPr>
        <w:t xml:space="preserve">ча заявки,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готовит заявку на участие в закупке в с</w:t>
      </w:r>
      <w:r>
        <w:rPr>
          <w:rFonts w:ascii="Times New Roman" w:hAnsi="Times New Roman" w:cs="Times New Roman"/>
          <w:b w:val="0"/>
          <w:bCs w:val="0"/>
        </w:rPr>
        <w:t xml:space="preserve">оответствии с требованиями </w:t>
      </w:r>
      <w:hyperlink w:tooltip="#_ТРЕБОВАНИЯ_К_СОДЕРЖАНИЮ" w:anchor="_ТРЕБОВАНИЯ_К_СОДЕРЖАНИЮ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раздела 3 «ТРЕБОВАНИЯ К СОДЕРЖАНИЮ ЗАЯВКИ НА УЧАСТИЕ В ЗАКУПКЕ»</w:t>
        </w:r>
        <w:r>
          <w:rPr>
            <w:rStyle w:val="1364"/>
            <w:rFonts w:ascii="Times New Roman" w:hAnsi="Times New Roman" w:cs="Times New Roman"/>
            <w:b w:val="0"/>
          </w:rPr>
          <w:t xml:space="preserve"> части </w:t>
        </w:r>
        <w:r>
          <w:rPr>
            <w:rStyle w:val="1364"/>
            <w:rFonts w:ascii="Times New Roman" w:hAnsi="Times New Roman" w:cs="Times New Roman"/>
            <w:b w:val="0"/>
            <w:lang w:val="en-US"/>
          </w:rPr>
          <w:t xml:space="preserve">I</w:t>
        </w:r>
        <w:r>
          <w:rPr>
            <w:rStyle w:val="1364"/>
            <w:rFonts w:ascii="Times New Roman" w:hAnsi="Times New Roman" w:cs="Times New Roman"/>
            <w:b w:val="0"/>
          </w:rPr>
          <w:t xml:space="preserve"> «ОБЩИЕ УСЛОВИЯ ПРОВЕДЕНИЯ ЗАКУПКИ»</w:t>
        </w:r>
      </w:hyperlink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</w:t>
      </w:r>
      <w:r>
        <w:rPr>
          <w:rFonts w:ascii="Times New Roman" w:hAnsi="Times New Roman" w:cs="Times New Roman"/>
          <w:b w:val="0"/>
          <w:bCs w:val="0"/>
        </w:rPr>
        <w:t xml:space="preserve">енными частью </w:t>
      </w:r>
      <w:hyperlink w:tooltip="#_ОБРАЗЦЫ_ФОРМ_ДЛЯ" w:anchor="_ОБРАЗЦЫ_ФОРМ_ДЛЯ" w:history="1">
        <w:r>
          <w:rPr>
            <w:rStyle w:val="1364"/>
            <w:rFonts w:ascii="Times New Roman" w:hAnsi="Times New Roman" w:cs="Times New Roman"/>
            <w:b w:val="0"/>
            <w:bCs w:val="0"/>
            <w:lang w:val="en-US"/>
          </w:rPr>
          <w:t xml:space="preserve">III</w:t>
        </w:r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 «ОБРАЗЦЫ ФОРМ ДЛЯ ЗАПОЛНЕНИЯ УЧАСТНИКАМИ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46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документов заявки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</w:t>
      </w:r>
      <w:r>
        <w:rPr>
          <w:rFonts w:ascii="Times New Roman" w:hAnsi="Times New Roman" w:cs="Times New Roman"/>
          <w:b w:val="0"/>
          <w:bCs w:val="0"/>
        </w:rPr>
        <w:t xml:space="preserve">ованиями действующих нормативных правовых актов, если иное не указано в части </w:t>
      </w:r>
      <w:hyperlink w:tooltip="#_ТЕХНИЧЕСКАЯ_ЧАСТЬ" w:anchor="_ТЕХНИЧЕСКАЯ_ЧАСТЬ" w:history="1">
        <w:r>
          <w:rPr>
            <w:rStyle w:val="1364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364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</w:t>
      </w:r>
      <w:r>
        <w:rPr>
          <w:rFonts w:ascii="Times New Roman" w:hAnsi="Times New Roman" w:cs="Times New Roman"/>
          <w:b w:val="0"/>
          <w:bCs w:val="0"/>
        </w:rPr>
        <w:t xml:space="preserve"> толкований.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0" w:name="_Ref11475563"/>
      <w:r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50"/>
      <w:r>
        <w:rPr>
          <w:rFonts w:ascii="Times New Roman" w:hAnsi="Times New Roman" w:cs="Times New Roman"/>
          <w:b w:val="0"/>
          <w:bCs w:val="0"/>
        </w:rPr>
        <w:t xml:space="preserve"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</w:t>
      </w:r>
      <w:r>
        <w:rPr>
          <w:rFonts w:ascii="Times New Roman" w:hAnsi="Times New Roman" w:cs="Times New Roman"/>
          <w:b w:val="0"/>
          <w:bCs w:val="0"/>
        </w:rPr>
        <w:t xml:space="preserve">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</w:t>
      </w:r>
      <w:r>
        <w:rPr>
          <w:rFonts w:ascii="Times New Roman" w:hAnsi="Times New Roman" w:cs="Times New Roman"/>
          <w:b w:val="0"/>
          <w:bCs w:val="0"/>
        </w:rPr>
        <w:t xml:space="preserve">ки на участие в закупке, должны быть заполнены по всем пунктам, за исключением пунктов, носящих рекомендательный характер.</w:t>
      </w:r>
      <w:bookmarkStart w:id="51" w:name="_Ref1663131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обеспечивает разумную конфиденциальность относительно всех полученных от участников закупки сведений, в том числе содержащих</w:t>
      </w:r>
      <w:r>
        <w:rPr>
          <w:rFonts w:ascii="Times New Roman" w:hAnsi="Times New Roman" w:cs="Times New Roman"/>
          <w:b w:val="0"/>
          <w:bCs w:val="0"/>
        </w:rPr>
        <w:t xml:space="preserve">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5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52" w:name="_Toc19"/>
      <w:r/>
      <w:bookmarkEnd w:id="51"/>
      <w:r>
        <w:rPr>
          <w:sz w:val="24"/>
          <w:szCs w:val="24"/>
        </w:rPr>
        <w:t xml:space="preserve">Язык документов, входящих в соста</w:t>
      </w:r>
      <w:r>
        <w:rPr>
          <w:sz w:val="24"/>
          <w:szCs w:val="24"/>
        </w:rPr>
        <w:t xml:space="preserve">в заявки на участие в закупке</w:t>
      </w:r>
      <w:bookmarkEnd w:id="5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на участие в закупке должна быть подготовлена на русском языке за исключением нижеследующего.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</w:t>
      </w:r>
      <w:r>
        <w:rPr>
          <w:rFonts w:ascii="Times New Roman" w:hAnsi="Times New Roman" w:cs="Times New Roman"/>
          <w:b w:val="0"/>
          <w:bCs w:val="0"/>
        </w:rPr>
        <w:t xml:space="preserve">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Заказчик будет принимать решение на ос</w:t>
      </w:r>
      <w:r>
        <w:rPr>
          <w:rFonts w:ascii="Times New Roman" w:hAnsi="Times New Roman" w:cs="Times New Roman"/>
          <w:b w:val="0"/>
          <w:bCs w:val="0"/>
        </w:rPr>
        <w:t xml:space="preserve">новании перевода.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не рассматривает документы, не переведенные на русский язык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53" w:name="_Toc20"/>
      <w:r>
        <w:rPr>
          <w:sz w:val="24"/>
          <w:szCs w:val="24"/>
        </w:rPr>
        <w:t xml:space="preserve">Требования к валюте заявки</w:t>
      </w:r>
      <w:bookmarkEnd w:id="5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4" w:name="_Hlt517806775"/>
      <w:r/>
      <w:bookmarkStart w:id="55" w:name="_Ref52534291"/>
      <w:r/>
      <w:bookmarkEnd w:id="54"/>
      <w:r>
        <w:rPr>
          <w:rFonts w:ascii="Times New Roman" w:hAnsi="Times New Roman" w:cs="Times New Roman"/>
          <w:b w:val="0"/>
        </w:rPr>
        <w:t xml:space="preserve">Все суммы денежных средств в документах, входящих в заявку участника, должны быть выражены в российских рублях (если иное не установлено в документации о закупке) за исключением нижеследующего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5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Документы, оригиналы которых выданы участнику закупки третьими</w:t>
      </w:r>
      <w:r>
        <w:rPr>
          <w:rFonts w:ascii="Times New Roman" w:hAnsi="Times New Roman" w:cs="Times New Roman"/>
          <w:b w:val="0"/>
        </w:rPr>
        <w:t xml:space="preserve">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</w:t>
      </w:r>
      <w:r>
        <w:rPr>
          <w:rFonts w:ascii="Times New Roman" w:hAnsi="Times New Roman" w:cs="Times New Roman"/>
          <w:b w:val="0"/>
        </w:rPr>
        <w:t xml:space="preserve">о Центральным банком Российской Федерации, с указанием такового курса и даты его установления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Цена Заявки фиксируется в российских рублях (если иное не установлено в документации о закупке) и не подлежит изменению при изменении официального курса валюты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56" w:name="_Toc21"/>
      <w:r>
        <w:rPr>
          <w:sz w:val="24"/>
          <w:szCs w:val="24"/>
        </w:rPr>
        <w:t xml:space="preserve">Требования к составу заявки на участие в закупке</w:t>
      </w:r>
      <w:bookmarkEnd w:id="47"/>
      <w:r/>
      <w:bookmarkEnd w:id="48"/>
      <w:r/>
      <w:bookmarkEnd w:id="49"/>
      <w:r/>
      <w:bookmarkEnd w:id="5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7" w:name="_Ref166243143"/>
      <w:r>
        <w:rPr>
          <w:rFonts w:ascii="Times New Roman" w:hAnsi="Times New Roman" w:cs="Times New Roman"/>
          <w:b w:val="0"/>
          <w:bCs w:val="0"/>
        </w:rPr>
        <w:t xml:space="preserve">Заявка участника на участие в закупке должна содержать сведения и документы, указанные в </w:t>
      </w:r>
      <w:r>
        <w:rPr>
          <w:rFonts w:ascii="Times New Roman" w:hAnsi="Times New Roman" w:cs="Times New Roman"/>
          <w:b w:val="0"/>
        </w:rPr>
        <w:t xml:space="preserve">пункте </w:t>
      </w:r>
      <w:hyperlink w:tooltip="#_Сведения_и_документы," w:anchor="_Сведения_и_документы," w:history="1">
        <w:r>
          <w:rPr>
            <w:rStyle w:val="1364"/>
            <w:rFonts w:ascii="Times New Roman" w:hAnsi="Times New Roman" w:cs="Times New Roman"/>
            <w:b w:val="0"/>
          </w:rPr>
          <w:t xml:space="preserve">17 части II «ИНФОРМАЦИОННАЯ КАРТА </w:t>
        </w:r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ЗАКУПК</w:t>
        </w:r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И</w:t>
        </w:r>
        <w:r>
          <w:rPr>
            <w:rStyle w:val="1364"/>
            <w:rFonts w:ascii="Times New Roman" w:hAnsi="Times New Roman" w:cs="Times New Roman"/>
            <w:b w:val="0"/>
          </w:rPr>
          <w:t xml:space="preserve">»</w:t>
        </w:r>
        <w:bookmarkEnd w:id="57"/>
      </w:hyperlink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</w:rPr>
        <w:t xml:space="preserve">Заявка должна быть действительна в течение срока, указанного участником закупки в письме о подаче оферты. В любом случае этот срок </w:t>
      </w:r>
      <w:r>
        <w:rPr>
          <w:rFonts w:ascii="Times New Roman" w:hAnsi="Times New Roman" w:cs="Times New Roman"/>
        </w:rPr>
        <w:t xml:space="preserve">не должен быть менее, чем 90</w:t>
      </w:r>
      <w:r>
        <w:rPr>
          <w:rStyle w:val="1475"/>
          <w:rFonts w:ascii="Times New Roman" w:hAnsi="Times New Roman" w:cs="Times New Roman"/>
          <w:i w:val="0"/>
          <w:shd w:val="clear" w:color="auto" w:fill="auto"/>
        </w:rPr>
        <w:t xml:space="preserve"> </w:t>
      </w:r>
      <w:r>
        <w:rPr>
          <w:rFonts w:ascii="Times New Roman" w:hAnsi="Times New Roman" w:cs="Times New Roman"/>
        </w:rPr>
        <w:t xml:space="preserve">календарных дней со дня</w:t>
      </w:r>
      <w:r>
        <w:rPr>
          <w:rFonts w:ascii="Times New Roman" w:hAnsi="Times New Roman" w:cs="Times New Roman"/>
          <w:b w:val="0"/>
        </w:rPr>
        <w:t xml:space="preserve">, следующего за днем окончания подачи заявок, указанном в пункте </w:t>
      </w:r>
      <w:hyperlink w:tooltip="#_Дата_рассмотрения_предложений" w:anchor="_Дата_рассмотрения_предложений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8" w:name="_Ref166316209"/>
      <w:r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пункте </w:t>
      </w:r>
      <w:hyperlink w:tooltip="#_Сведения_и_документы," w:anchor="_Сведения_и_документы," w:history="1">
        <w:r>
          <w:rPr>
            <w:rStyle w:val="1364"/>
            <w:rFonts w:ascii="Times New Roman" w:hAnsi="Times New Roman" w:cs="Times New Roman"/>
            <w:b w:val="0"/>
          </w:rPr>
          <w:t xml:space="preserve">17 </w:t>
        </w:r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Закупочная комиссия отклоняет заявку, поданную на участие в закупке.</w:t>
      </w:r>
      <w:bookmarkEnd w:id="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документации о закупке форм может быть расценено Закупочной комиссией как нес</w:t>
      </w:r>
      <w:r>
        <w:rPr>
          <w:rFonts w:ascii="Times New Roman" w:hAnsi="Times New Roman" w:cs="Times New Roman"/>
          <w:b w:val="0"/>
          <w:bCs w:val="0"/>
        </w:rPr>
        <w:t xml:space="preserve">оответствие заявки на участие в закупке требованиям, установленным документацией о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</w:t>
      </w:r>
      <w:r>
        <w:rPr>
          <w:rFonts w:ascii="Times New Roman" w:hAnsi="Times New Roman" w:cs="Times New Roman"/>
          <w:b w:val="0"/>
          <w:bCs w:val="0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9" w:name="_3.4.5._В_с"/>
      <w:r/>
      <w:bookmarkStart w:id="60" w:name="_В_случае,_если"/>
      <w:r/>
      <w:bookmarkEnd w:id="59"/>
      <w:r/>
      <w:bookmarkEnd w:id="60"/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объединение (группа лиц), выступающих на стороне одного у</w:t>
      </w:r>
      <w:r>
        <w:rPr>
          <w:rFonts w:ascii="Times New Roman" w:hAnsi="Times New Roman" w:cs="Times New Roman"/>
          <w:b w:val="0"/>
          <w:bCs w:val="0"/>
        </w:rPr>
        <w:t xml:space="preserve">частника закупки (далее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457"/>
        <w:numPr>
          <w:ilvl w:val="0"/>
          <w:numId w:val="8"/>
        </w:numPr>
        <w:ind w:left="0" w:firstLine="567"/>
        <w:jc w:val="both"/>
      </w:pPr>
      <w:r>
        <w:t xml:space="preserve">в соглашении должны быть четко оп</w:t>
      </w:r>
      <w:r>
        <w:t xml:space="preserve">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</w:r>
      <w:r/>
    </w:p>
    <w:p>
      <w:pPr>
        <w:pStyle w:val="1457"/>
        <w:numPr>
          <w:ilvl w:val="0"/>
          <w:numId w:val="8"/>
        </w:numPr>
        <w:ind w:left="0" w:firstLine="567"/>
        <w:jc w:val="both"/>
      </w:pPr>
      <w:r>
        <w:t xml:space="preserve">в соглашении должно быть приведено распределение объемов, стоимости (в процентах) и сроков выполнения работ</w:t>
      </w:r>
      <w:r>
        <w:t xml:space="preserve">/услуг/поставок между членами коллективного участника;</w:t>
      </w:r>
      <w:r/>
    </w:p>
    <w:p>
      <w:pPr>
        <w:pStyle w:val="1457"/>
        <w:numPr>
          <w:ilvl w:val="0"/>
          <w:numId w:val="8"/>
        </w:numPr>
        <w:ind w:left="0" w:firstLine="567"/>
        <w:jc w:val="both"/>
      </w:pPr>
      <w:r>
        <w:t xml:space="preserve">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</w:r>
      <w:r/>
    </w:p>
    <w:p>
      <w:pPr>
        <w:pStyle w:val="1457"/>
        <w:numPr>
          <w:ilvl w:val="0"/>
          <w:numId w:val="8"/>
        </w:numPr>
        <w:ind w:left="0" w:firstLine="567"/>
        <w:jc w:val="both"/>
      </w:pPr>
      <w:r>
        <w:t xml:space="preserve">в соглашении должна </w:t>
      </w:r>
      <w:r>
        <w:t xml:space="preserve">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</w:r>
      <w:r/>
    </w:p>
    <w:p>
      <w:pPr>
        <w:pStyle w:val="1457"/>
        <w:numPr>
          <w:ilvl w:val="0"/>
          <w:numId w:val="8"/>
        </w:numPr>
        <w:ind w:left="0" w:firstLine="567"/>
        <w:jc w:val="both"/>
      </w:pPr>
      <w:r>
        <w:t xml:space="preserve">соглашением должно быть предусмо</w:t>
      </w:r>
      <w:r>
        <w:t xml:space="preserve">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  <w:r/>
    </w:p>
    <w:p>
      <w:pPr>
        <w:pStyle w:val="1457"/>
        <w:numPr>
          <w:ilvl w:val="0"/>
          <w:numId w:val="8"/>
        </w:numPr>
        <w:ind w:left="0" w:firstLine="567"/>
        <w:jc w:val="both"/>
        <w:rPr>
          <w:bCs/>
        </w:rPr>
      </w:pPr>
      <w:r>
        <w:t xml:space="preserve">срок действия соглашения должен быть не менее, чем срок действия договора.</w:t>
      </w:r>
      <w:r>
        <w:rPr>
          <w:bCs/>
        </w:rPr>
      </w:r>
      <w:r>
        <w:rPr>
          <w:bCs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1" w:name="_3.4.6._В_с"/>
      <w:r/>
      <w:bookmarkStart w:id="62" w:name="_В_случае,_если_1"/>
      <w:r/>
      <w:bookmarkEnd w:id="61"/>
      <w:r/>
      <w:bookmarkEnd w:id="62"/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</w:t>
      </w:r>
      <w:r>
        <w:rPr>
          <w:rFonts w:ascii="Times New Roman" w:hAnsi="Times New Roman" w:cs="Times New Roman"/>
          <w:b w:val="0"/>
          <w:bCs w:val="0"/>
        </w:rPr>
        <w:t xml:space="preserve">ний: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457"/>
        <w:numPr>
          <w:ilvl w:val="0"/>
          <w:numId w:val="8"/>
        </w:numPr>
        <w:ind w:left="0" w:firstLine="567"/>
        <w:jc w:val="both"/>
      </w:pPr>
      <w:r>
        <w:t xml:space="preserve">заявка должна включать документы, подтверждающие соответствие коллективного участника установленным требованиям;</w:t>
      </w:r>
      <w:r/>
    </w:p>
    <w:p>
      <w:pPr>
        <w:pStyle w:val="1457"/>
        <w:numPr>
          <w:ilvl w:val="0"/>
          <w:numId w:val="8"/>
        </w:numPr>
        <w:ind w:left="0" w:firstLine="567"/>
        <w:jc w:val="both"/>
        <w:rPr>
          <w:rStyle w:val="1364"/>
          <w:bCs/>
        </w:rPr>
      </w:pPr>
      <w:r>
        <w:t xml:space="preserve">в отношении каждого из членов коллективного участника предоставляются документы и сведения, предусмотренные пунктом </w:t>
      </w:r>
      <w:hyperlink w:tooltip="#_Сведения_и_документы," w:anchor="_Сведения_и_документы," w:history="1">
        <w:r>
          <w:rPr>
            <w:rStyle w:val="1364"/>
          </w:rPr>
          <w:t xml:space="preserve">17 части II «ИНФОРМАЦИОННАЯ КАРТА ЗАКУПКИ»</w:t>
        </w:r>
      </w:hyperlink>
      <w:r>
        <w:rPr>
          <w:rStyle w:val="1364"/>
          <w:bCs/>
          <w:color w:val="000000" w:themeColor="text1"/>
          <w:u w:val="none"/>
        </w:rPr>
        <w:t xml:space="preserve">.</w:t>
      </w:r>
      <w:r>
        <w:rPr>
          <w:rStyle w:val="1364"/>
          <w:bCs/>
        </w:rPr>
      </w:r>
      <w:r>
        <w:rPr>
          <w:rStyle w:val="1364"/>
          <w:bCs/>
        </w:rPr>
      </w:r>
    </w:p>
    <w:p>
      <w:pPr>
        <w:pStyle w:val="1457"/>
        <w:numPr>
          <w:ilvl w:val="0"/>
          <w:numId w:val="8"/>
        </w:numPr>
        <w:ind w:left="0" w:firstLine="567"/>
        <w:jc w:val="both"/>
      </w:pPr>
      <w:r>
        <w:t xml:space="preserve">заявка подготавливается и подается лидером от своего имени со ссылкой на то, что он представляет интересы коллективного участника;</w:t>
      </w:r>
      <w:r/>
    </w:p>
    <w:p>
      <w:pPr>
        <w:pStyle w:val="1457"/>
        <w:numPr>
          <w:ilvl w:val="0"/>
          <w:numId w:val="8"/>
        </w:numPr>
        <w:ind w:left="0" w:firstLine="567"/>
        <w:jc w:val="both"/>
      </w:pPr>
      <w:r>
        <w:t xml:space="preserve">в состав заявки дополнительно вк</w:t>
      </w:r>
      <w:r>
        <w:t xml:space="preserve">лючается соглашение между членами коллективного участника.</w:t>
      </w:r>
      <w:r/>
    </w:p>
    <w:p>
      <w:pPr>
        <w:pStyle w:val="114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3" w:name="_Toc22"/>
      <w:r>
        <w:rPr>
          <w:sz w:val="24"/>
          <w:szCs w:val="24"/>
        </w:rPr>
        <w:t xml:space="preserve">Требования к описанию предложения участника закупки</w:t>
      </w:r>
      <w:bookmarkEnd w:id="6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4" w:name="_Ref166314630"/>
      <w:r/>
      <w:bookmarkStart w:id="65" w:name="_Ref11560130"/>
      <w:r>
        <w:rPr>
          <w:rFonts w:ascii="Times New Roman" w:hAnsi="Times New Roman" w:cs="Times New Roman"/>
          <w:b w:val="0"/>
          <w:bCs w:val="0"/>
        </w:rPr>
        <w:t xml:space="preserve">Цена договора, предлагаемая участником закупки, не может превышать начальную (максимальную) цену договора (цену лота), указанную в извещении заку</w:t>
      </w:r>
      <w:r>
        <w:rPr>
          <w:rFonts w:ascii="Times New Roman" w:hAnsi="Times New Roman" w:cs="Times New Roman"/>
          <w:b w:val="0"/>
          <w:bCs w:val="0"/>
        </w:rPr>
        <w:t xml:space="preserve">пке и в пункте </w:t>
      </w:r>
      <w:hyperlink w:tooltip="#_Сведения_о_начальной" w:anchor="_Сведения_о_начальной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64"/>
      <w:r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(далее также -</w:t>
      </w:r>
      <w:r>
        <w:rPr>
          <w:rFonts w:ascii="Times New Roman" w:hAnsi="Times New Roman" w:cs="Times New Roman"/>
          <w:b w:val="0"/>
          <w:bCs w:val="0"/>
        </w:rPr>
        <w:t xml:space="preserve">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6" w:name="_Ref126085783"/>
      <w:r>
        <w:rPr>
          <w:rFonts w:ascii="Times New Roman" w:hAnsi="Times New Roman" w:cs="Times New Roman"/>
          <w:b w:val="0"/>
          <w:bCs w:val="0"/>
        </w:rPr>
        <w:t xml:space="preserve">В случае установления в документации о закупке единичных расценок, либо исп</w:t>
      </w:r>
      <w:r>
        <w:rPr>
          <w:rFonts w:ascii="Times New Roman" w:hAnsi="Times New Roman" w:cs="Times New Roman"/>
          <w:b w:val="0"/>
          <w:bCs w:val="0"/>
        </w:rPr>
        <w:t xml:space="preserve">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</w:t>
      </w:r>
      <w:r>
        <w:rPr>
          <w:rFonts w:ascii="Times New Roman" w:hAnsi="Times New Roman" w:cs="Times New Roman"/>
          <w:b w:val="0"/>
          <w:bCs w:val="0"/>
        </w:rPr>
        <w:t xml:space="preserve">оборудования и стоимости его монтажа, либо установления стоимостей отдельных договоров, если п</w:t>
      </w:r>
      <w:r>
        <w:rPr>
          <w:rFonts w:ascii="Times New Roman" w:hAnsi="Times New Roman" w:cs="Times New Roman"/>
          <w:b w:val="0"/>
          <w:bCs w:val="0"/>
        </w:rPr>
        <w:t xml:space="preserve">о результатам закупки будет заключено несколько договоров и т.п.)</w:t>
      </w:r>
      <w:r>
        <w:rPr>
          <w:rFonts w:ascii="Times New Roman" w:hAnsi="Times New Roman" w:cs="Times New Roman"/>
          <w:b w:val="0"/>
        </w:rPr>
        <w:t xml:space="preserve"> если иное не установлено </w:t>
      </w:r>
      <w:r>
        <w:rPr>
          <w:rFonts w:ascii="Times New Roman" w:hAnsi="Times New Roman" w:cs="Times New Roman"/>
          <w:b w:val="0"/>
          <w:bCs w:val="0"/>
        </w:rPr>
        <w:t xml:space="preserve">предложение участника не должно превышать единичные расценки либо отдельные стоимостные позиции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457"/>
        <w:numPr>
          <w:ilvl w:val="2"/>
          <w:numId w:val="1"/>
        </w:numPr>
        <w:ind w:left="0" w:firstLine="567"/>
        <w:jc w:val="both"/>
      </w:pPr>
      <w:r>
        <w:t xml:space="preserve"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 в документации о закупке может быть установлено, что при подаче ценовых предложений </w:t>
      </w:r>
      <w:r>
        <w:t xml:space="preserve">(цены предложения на переторжке (далее - дополнительных ценовых предложений)) 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  <w:r/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договора </w:t>
      </w:r>
      <w:r>
        <w:rPr>
          <w:rFonts w:ascii="Times New Roman" w:hAnsi="Times New Roman" w:cs="Times New Roman"/>
          <w:b w:val="0"/>
          <w:bCs w:val="0"/>
        </w:rPr>
        <w:t xml:space="preserve">должна включать </w:t>
      </w:r>
      <w:r>
        <w:rPr>
          <w:rFonts w:ascii="Times New Roman" w:hAnsi="Times New Roman" w:eastAsia="Calibri" w:cs="Times New Roman"/>
          <w:b w:val="0"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</w:t>
      </w:r>
      <w:r>
        <w:rPr>
          <w:rFonts w:ascii="Times New Roman" w:hAnsi="Times New Roman" w:cs="Times New Roman"/>
          <w:b w:val="0"/>
          <w:bCs w:val="0"/>
        </w:rPr>
        <w:t xml:space="preserve">иное не установлено документацией о закупке.</w:t>
      </w:r>
      <w:bookmarkEnd w:id="66"/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</w:t>
      </w:r>
      <w:r>
        <w:rPr>
          <w:rFonts w:ascii="Times New Roman" w:hAnsi="Times New Roman" w:cs="Times New Roman"/>
          <w:b w:val="0"/>
          <w:bCs w:val="0"/>
        </w:rPr>
        <w:t xml:space="preserve">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 части </w:t>
      </w:r>
      <w:hyperlink w:tooltip="#_ТЕХНИЧЕСКАЯ_ЧАСТЬ" w:anchor="_ТЕХНИЧЕСКАЯ_ЧАСТЬ" w:history="1">
        <w:r>
          <w:rPr>
            <w:rStyle w:val="1364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364"/>
            <w:rFonts w:ascii="Times New Roman" w:hAnsi="Times New Roman" w:cs="Times New Roman"/>
            <w:b w:val="0"/>
          </w:rPr>
          <w:t xml:space="preserve">«ТЕ</w:t>
        </w:r>
        <w:r>
          <w:rPr>
            <w:rStyle w:val="1364"/>
            <w:rFonts w:ascii="Times New Roman" w:hAnsi="Times New Roman" w:cs="Times New Roman"/>
            <w:b w:val="0"/>
          </w:rPr>
          <w:t xml:space="preserve">ХНИЧЕСКАЯ ЧАСТЬ»</w:t>
        </w:r>
      </w:hyperlink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по формами, установленными в части </w:t>
      </w:r>
      <w:hyperlink w:tooltip="#_РАЗДЕЛ_I_4_ОБРАЗЦЫ_ФОРМ_И_ДОКУМЕНТО" w:anchor="_РАЗДЕЛ_I_4_ОБРАЗЦЫ_ФОРМ_И_ДОКУМЕНТО" w:history="1">
        <w:r>
          <w:rPr>
            <w:rStyle w:val="1364"/>
            <w:rFonts w:ascii="Times New Roman" w:hAnsi="Times New Roman" w:cs="Times New Roman"/>
            <w:b w:val="0"/>
            <w:bCs w:val="0"/>
            <w:lang w:val="en-US"/>
          </w:rPr>
          <w:t xml:space="preserve">III</w:t>
        </w:r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 «ОБРАЗЦЫ ФОРМ ДЛЯ ЗАПОЛНЕНИЯ УЧАСТНИКАМИ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что, если иное не установлено документацией о закупке ссылки в документации о закупке на конкретный тип продукции, производителя, носят лишь рекомендательный, а не обязательный характер. Участник закупки может п</w:t>
      </w:r>
      <w:r>
        <w:rPr>
          <w:rFonts w:ascii="Times New Roman" w:hAnsi="Times New Roman" w:cs="Times New Roman"/>
          <w:b w:val="0"/>
          <w:bCs w:val="0"/>
        </w:rPr>
        <w:t xml:space="preserve">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части </w:t>
      </w:r>
      <w:hyperlink w:tooltip="#_ТЕХНИЧЕСКАЯ_ЧАСТЬ" w:anchor="_ТЕХНИЧЕСКАЯ_ЧАСТЬ" w:history="1">
        <w:r>
          <w:rPr>
            <w:rStyle w:val="1364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364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7" w:name="_Hlk160542448"/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</w:t>
      </w:r>
      <w:bookmarkEnd w:id="67"/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</w:t>
      </w:r>
      <w:r>
        <w:rPr>
          <w:rFonts w:ascii="Times New Roman" w:hAnsi="Times New Roman" w:cs="Times New Roman"/>
          <w:b w:val="0"/>
          <w:bCs w:val="0"/>
        </w:rPr>
        <w:t xml:space="preserve">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</w:t>
      </w:r>
      <w:r>
        <w:rPr>
          <w:rFonts w:ascii="Times New Roman" w:hAnsi="Times New Roman" w:cs="Times New Roman"/>
          <w:b w:val="0"/>
          <w:bCs w:val="0"/>
        </w:rPr>
        <w:t xml:space="preserve">установленными  части </w:t>
      </w:r>
      <w:hyperlink w:tooltip="#_ТЕХНИЧЕСКАЯ_ЧАСТЬ" w:anchor="_ТЕХНИЧЕСКАЯ_ЧАСТЬ" w:history="1">
        <w:r>
          <w:rPr>
            <w:rStyle w:val="1364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364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части </w:t>
      </w:r>
      <w:hyperlink w:tooltip="#_ТЕХНИЧЕСКАЯ_ЧАСТЬ" w:anchor="_ТЕХНИЧЕСКАЯ_ЧАСТЬ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V 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 указаны товарные знаки, знаки обслуживани</w:t>
      </w:r>
      <w:r>
        <w:rPr>
          <w:rFonts w:ascii="Times New Roman" w:hAnsi="Times New Roman" w:cs="Times New Roman"/>
          <w:b w:val="0"/>
          <w:bCs w:val="0"/>
        </w:rPr>
        <w:t xml:space="preserve">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в случае предложения эквивалентной продукции при описании ее обяз</w:t>
      </w:r>
      <w:r>
        <w:rPr>
          <w:rFonts w:ascii="Times New Roman" w:hAnsi="Times New Roman" w:cs="Times New Roman"/>
          <w:b w:val="0"/>
          <w:bCs w:val="0"/>
        </w:rPr>
        <w:t xml:space="preserve">ан подтвердить соответствие предлагаемой продукции показателям эквивалентности, установленным в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</w:t>
      </w:r>
      <w:r>
        <w:rPr>
          <w:rFonts w:ascii="Times New Roman" w:hAnsi="Times New Roman" w:cs="Times New Roman"/>
          <w:b w:val="0"/>
          <w:bCs w:val="0"/>
        </w:rPr>
        <w:t xml:space="preserve">тветствии с законодательством и требованиями настоящей документации о закупке.</w:t>
      </w:r>
      <w:r/>
    </w:p>
    <w:p>
      <w:pPr>
        <w:pStyle w:val="114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8" w:name="_3.6._Требо"/>
      <w:r/>
      <w:bookmarkStart w:id="69" w:name="_Требования_к_обеспечению"/>
      <w:r/>
      <w:bookmarkStart w:id="70" w:name="_Ref119429503"/>
      <w:r/>
      <w:bookmarkStart w:id="71" w:name="_Toc23"/>
      <w:r/>
      <w:bookmarkEnd w:id="68"/>
      <w:r/>
      <w:bookmarkEnd w:id="65"/>
      <w:r/>
      <w:bookmarkEnd w:id="69"/>
      <w:r>
        <w:rPr>
          <w:sz w:val="24"/>
          <w:szCs w:val="24"/>
        </w:rPr>
        <w:t xml:space="preserve">Требования к обеспечению заявок на участие в закупке</w:t>
      </w:r>
      <w:bookmarkEnd w:id="70"/>
      <w:r/>
      <w:bookmarkEnd w:id="7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567"/>
        <w:spacing w:after="0"/>
        <w:outlineLvl w:val="2"/>
      </w:pPr>
      <w:r/>
      <w:bookmarkStart w:id="72" w:name="_Возврат_участнику_закупки"/>
      <w:r/>
      <w:bookmarkStart w:id="73" w:name="_Ref535415072"/>
      <w:r/>
      <w:bookmarkEnd w:id="72"/>
      <w:r>
        <w:t xml:space="preserve">В случае если размер начальной (максимальной) цены закупки (цены лота) превышает 5 (пять) миллионов рублей с НДС Заказчик вп</w:t>
      </w:r>
      <w:r>
        <w:t xml:space="preserve">раве установить в документации о закупке требование к обеспечению заявок на участие в закупке в размере не более 5 (пяти) процентов от начальной (максимальной) цены договора. Обеспечение заявки может быть </w:t>
      </w:r>
      <w:r>
        <w:t xml:space="preserve">представлено в форме внесения денежных средств или </w:t>
      </w:r>
      <w:r>
        <w:t xml:space="preserve">в форме независимой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/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Информация об ус</w:t>
      </w:r>
      <w:r>
        <w:t xml:space="preserve">тановлении требования о предоставлении обеспечения и размер такого обеспечения указывается в пункте </w:t>
      </w:r>
      <w:hyperlink w:tooltip="#_Размер_обеспечения_заявок" w:anchor="_Размер_обеспечения_заявок" w:history="1">
        <w:r>
          <w:rPr>
            <w:color w:val="0000ff"/>
            <w:u w:val="single"/>
          </w:rPr>
          <w:t xml:space="preserve">11 части II «ИНФОРМАЦИОННАЯ КАРТА ЗАКУПКИ»</w:t>
        </w:r>
      </w:hyperlink>
      <w:r>
        <w:t xml:space="preserve">. </w:t>
      </w:r>
      <w:r/>
    </w:p>
    <w:p>
      <w:pPr>
        <w:numPr>
          <w:ilvl w:val="2"/>
          <w:numId w:val="1"/>
        </w:numPr>
        <w:ind w:left="0" w:firstLine="567"/>
        <w:spacing w:after="0"/>
        <w:rPr>
          <w:color w:val="0000ff"/>
          <w:u w:val="single"/>
        </w:rPr>
        <w:outlineLvl w:val="2"/>
      </w:pPr>
      <w:r>
        <w:t xml:space="preserve">Денежные средства вносятся участ</w:t>
      </w:r>
      <w:r>
        <w:t xml:space="preserve">ником закупки на Лицевой счет участника закупки, открытый оператором электронной площадки в соответствии с правилами, установленными Регламентом работы ЭТП</w:t>
      </w:r>
      <w:r>
        <w:rPr>
          <w:bCs/>
        </w:rPr>
        <w:t xml:space="preserve">. Информация о перечислении средств на Лицевой счет ЭТП, либо на </w:t>
      </w:r>
      <w:r>
        <w:t xml:space="preserve">счет Заказчика установлена в пункте </w:t>
      </w:r>
      <w:hyperlink w:tooltip="#_Размер_обеспечения_заявок" w:anchor="_Размер_обеспечения_заявок" w:history="1">
        <w:r>
          <w:rPr>
            <w:color w:val="0000ff"/>
            <w:u w:val="single"/>
          </w:rPr>
          <w:t xml:space="preserve">11 части II «ИНФОРМАЦИОННАЯ КАРТА ЗАКУПКИ»</w:t>
        </w:r>
      </w:hyperlink>
      <w:r>
        <w:rPr>
          <w:color w:val="0000ff"/>
          <w:u w:val="single"/>
        </w:rPr>
        <w:t xml:space="preserve">.</w:t>
      </w:r>
      <w:r>
        <w:rPr>
          <w:color w:val="0000ff"/>
          <w:u w:val="single"/>
        </w:rPr>
      </w:r>
      <w:r>
        <w:rPr>
          <w:color w:val="0000ff"/>
          <w:u w:val="single"/>
        </w:rPr>
      </w:r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Порядок и случаи блокирования денежных средств, внесенных участниками закупки в целях обеспечения заявок на участие в закупке, и прек</w:t>
      </w:r>
      <w:r>
        <w:t xml:space="preserve">ращения данного блокирования установлены действующим законодательством о закупках отдельных видов юридических лиц, а также Регламентом работы ЭТП. </w:t>
      </w:r>
      <w:r/>
    </w:p>
    <w:p>
      <w:pPr>
        <w:numPr>
          <w:ilvl w:val="2"/>
          <w:numId w:val="1"/>
        </w:numPr>
        <w:ind w:left="0" w:firstLine="567"/>
        <w:spacing w:after="0"/>
        <w:rPr>
          <w:bCs/>
        </w:rPr>
        <w:outlineLvl w:val="2"/>
      </w:pPr>
      <w:r>
        <w:rPr>
          <w:bCs/>
        </w:rPr>
        <w:t xml:space="preserve">  Денежные средства, внесенные на счет Заказчика в качестве обеспечения заявки на участие в закупке возвраща</w:t>
      </w:r>
      <w:r>
        <w:rPr>
          <w:bCs/>
        </w:rPr>
        <w:t xml:space="preserve">ются: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18"/>
        </w:numPr>
        <w:ind w:left="0" w:firstLine="567"/>
        <w:spacing w:after="0"/>
        <w:tabs>
          <w:tab w:val="left" w:pos="1418" w:leader="none"/>
        </w:tabs>
        <w:rPr>
          <w:bCs/>
        </w:rPr>
        <w:outlineLvl w:val="2"/>
      </w:pPr>
      <w:r>
        <w:rPr>
          <w:bCs/>
        </w:rPr>
        <w:t xml:space="preserve">всем участникам закупки, за исключением участника закупки, заявке которого присвоен первый номер, в срок не более 7 (семи) рабочих дней со дня подписания протокола, составленного по результатам закупки;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18"/>
        </w:numPr>
        <w:ind w:left="0" w:firstLine="567"/>
        <w:spacing w:after="0"/>
        <w:tabs>
          <w:tab w:val="left" w:pos="1418" w:leader="none"/>
        </w:tabs>
        <w:rPr>
          <w:bCs/>
        </w:rPr>
        <w:outlineLvl w:val="2"/>
      </w:pPr>
      <w:r>
        <w:rPr>
          <w:bCs/>
        </w:rPr>
        <w:t xml:space="preserve">участнику закупки, заявке которого присвоен первый номер, в срок не более 7 (семи)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</w:t>
      </w:r>
      <w:r>
        <w:rPr>
          <w:bCs/>
        </w:rPr>
        <w:t xml:space="preserve">полнения договора было установлено в извещении о закупке и (или) документации о закупке).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Возврат участнику закупки денежных средств, внесенных в качестве обеспечения заявки, не производится, а независимая гарантия предъявляется банку-гаранту для выплаты с</w:t>
      </w:r>
      <w:r>
        <w:t xml:space="preserve">уммы обеспечения исполнения обязательств в следующих случаях:</w:t>
      </w:r>
      <w:bookmarkEnd w:id="73"/>
      <w:r/>
      <w:r/>
    </w:p>
    <w:p>
      <w:pPr>
        <w:ind w:firstLine="567"/>
        <w:spacing w:after="0"/>
        <w:rPr>
          <w:rFonts w:eastAsia="MS Mincho"/>
          <w:bCs/>
        </w:rPr>
      </w:pPr>
      <w:r>
        <w:t xml:space="preserve">- непредставления или предоставления с нарушением условий, установленных настоящей документацией о закупк</w:t>
      </w:r>
      <w:r>
        <w:t xml:space="preserve">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уклонения и</w:t>
      </w:r>
      <w:r>
        <w:t xml:space="preserve">ли отказа участника закупки от заключения договора</w:t>
      </w:r>
      <w:r>
        <w:rPr>
          <w:spacing w:val="-2"/>
        </w:rPr>
        <w:t xml:space="preserve">.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При выборе участником закупки способа обеспечения заявки в форме независимой гарантии участник должен предоставить независимую гарантию, составленную с учетом требований статей </w:t>
      </w:r>
      <w:hyperlink r:id="rId24" w:tooltip="https://www.consultant.ru/document/cons_doc_LAW_5142/03edc46b2ef855fddfaaa3d77dac1d071ef3dba1/" w:history="1">
        <w:r>
          <w:rPr>
            <w:color w:val="0000ff"/>
            <w:u w:val="single"/>
          </w:rPr>
          <w:t xml:space="preserve">368</w:t>
        </w:r>
      </w:hyperlink>
      <w:r>
        <w:t xml:space="preserve">-</w:t>
      </w:r>
      <w:hyperlink r:id="rId25" w:tooltip="https://www.consultant.ru/document/cons_doc_LAW_5142/e8b1dba1c6def4f632470a9857908caf60fec137/" w:history="1">
        <w:r>
          <w:rPr>
            <w:color w:val="0000ff"/>
            <w:u w:val="single"/>
          </w:rPr>
          <w:t xml:space="preserve">379</w:t>
        </w:r>
      </w:hyperlink>
      <w:r>
        <w:t xml:space="preserve"> Гражданского кодекса Российской Федерации и следующих условий: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rPr>
          <w:bCs/>
        </w:rPr>
        <w:t xml:space="preserve">независимая гарантия должна быть выдана гарант</w:t>
      </w:r>
      <w:r>
        <w:rPr>
          <w:bCs/>
        </w:rPr>
        <w:t xml:space="preserve">ом, предусмотренным </w:t>
      </w:r>
      <w:hyperlink r:id="rId26" w:tooltip="https://www.consultant.ru/document/cons_doc_LAW_144624/af90cad46f4484d18fa490ef1c9d7a3b2fd3be3b/#dst2441" w:anchor="dst2441" w:history="1">
        <w:r>
          <w:rPr>
            <w:rStyle w:val="1364"/>
            <w:bCs/>
          </w:rPr>
          <w:t xml:space="preserve">частью 1 статьи 45 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  </w:r>
      </w:hyperlink>
      <w:r>
        <w:rPr>
          <w:bCs/>
        </w:rPr>
        <w:t xml:space="preserve">;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t xml:space="preserve">независимая гарантия не может быть отозвана выдавшим ее гарантом;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t xml:space="preserve">срок </w:t>
      </w:r>
      <w:r>
        <w:t xml:space="preserve">действия независимой гарантии должен заканчиваться не ранее, чем через 60 календарных дней с даты окончания срока подачи заявок;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t xml:space="preserve">в независимой гарантии должно быть предусмотрена безусловная обязанность гаранта оплатить сумму независимой гарантии полностью </w:t>
      </w:r>
      <w:r>
        <w:t xml:space="preserve">или частично по письменному требованию бенефициара;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t xml:space="preserve">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каких-либо документов за исключением:</w:t>
      </w:r>
      <w:r/>
    </w:p>
    <w:p>
      <w:pPr>
        <w:numPr>
          <w:ilvl w:val="0"/>
          <w:numId w:val="23"/>
        </w:numPr>
        <w:ind w:left="0" w:firstLine="567"/>
        <w:spacing w:after="0"/>
        <w:tabs>
          <w:tab w:val="left" w:pos="1418" w:leader="none"/>
        </w:tabs>
      </w:pPr>
      <w:r>
        <w:t xml:space="preserve">надлежащим обр</w:t>
      </w:r>
      <w:r>
        <w:t xml:space="preserve">азом оформленного требования бенефициара;</w:t>
      </w:r>
      <w:r/>
    </w:p>
    <w:p>
      <w:pPr>
        <w:numPr>
          <w:ilvl w:val="0"/>
          <w:numId w:val="23"/>
        </w:numPr>
        <w:ind w:left="0" w:firstLine="567"/>
        <w:spacing w:after="0"/>
        <w:tabs>
          <w:tab w:val="left" w:pos="1418" w:leader="none"/>
        </w:tabs>
      </w:pPr>
      <w:r>
        <w:t xml:space="preserve">документов, подтверждающих полномочия лица, подписавшего требование от имени бенефициара;</w:t>
      </w:r>
      <w:r/>
    </w:p>
    <w:p>
      <w:pPr>
        <w:numPr>
          <w:ilvl w:val="0"/>
          <w:numId w:val="23"/>
        </w:numPr>
        <w:ind w:left="0" w:firstLine="567"/>
        <w:spacing w:after="0"/>
        <w:tabs>
          <w:tab w:val="left" w:pos="1418" w:leader="none"/>
        </w:tabs>
      </w:pPr>
      <w:r>
        <w:t xml:space="preserve">перечисленных в явном виде в тексте независимой гарантии информационных справок, для заверения которых достаточно подписи пр</w:t>
      </w:r>
      <w:r>
        <w:t xml:space="preserve">едставителя бенефициара.</w:t>
      </w:r>
      <w:r/>
    </w:p>
    <w:p>
      <w:pPr>
        <w:numPr>
          <w:ilvl w:val="2"/>
          <w:numId w:val="1"/>
        </w:numPr>
        <w:ind w:left="0" w:firstLine="567"/>
        <w:spacing w:after="0"/>
        <w:widowControl w:val="off"/>
        <w:rPr>
          <w:bCs/>
        </w:rPr>
        <w:outlineLvl w:val="2"/>
      </w:pPr>
      <w:r>
        <w:rPr>
          <w:bCs/>
        </w:rPr>
        <w:t xml:space="preserve">Гарант, выдающий независимую гарантию, должен отвечать всем нижеследующим требованиям: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19"/>
        </w:numPr>
        <w:ind w:left="0" w:firstLine="567"/>
        <w:spacing w:after="0"/>
      </w:pPr>
      <w:r>
        <w:rPr>
          <w:rStyle w:val="1503"/>
        </w:rPr>
        <w:t xml:space="preserve">кредитная организация обладает действующей лицензией на банковскую деятельность, выданной Банком России</w:t>
      </w:r>
      <w:r>
        <w:rPr>
          <w:rStyle w:val="1503"/>
          <w:vertAlign w:val="superscript"/>
        </w:rPr>
        <w:footnoteReference w:customMarkFollows="1" w:id="2"/>
        <w:t xml:space="preserve">1</w:t>
      </w:r>
      <w:r>
        <w:rPr>
          <w:rStyle w:val="1503"/>
        </w:rPr>
        <w:t xml:space="preserve">, и в отношении данной кредитной организ</w:t>
      </w:r>
      <w:r>
        <w:rPr>
          <w:rStyle w:val="1503"/>
        </w:rPr>
        <w:t xml:space="preserve">ации отсутствуют какие-либо установленные в индивидуальном порядке Банком России ограничения на проведение отдельных операций</w:t>
      </w:r>
      <w:r>
        <w:rPr>
          <w:rStyle w:val="1503"/>
          <w:vertAlign w:val="superscript"/>
        </w:rPr>
        <w:footnoteReference w:customMarkFollows="1" w:id="3"/>
        <w:t xml:space="preserve">2</w:t>
      </w:r>
      <w:r>
        <w:t xml:space="preserve">;</w:t>
      </w:r>
      <w:r/>
    </w:p>
    <w:p>
      <w:pPr>
        <w:numPr>
          <w:ilvl w:val="0"/>
          <w:numId w:val="19"/>
        </w:numPr>
        <w:ind w:left="0" w:firstLine="567"/>
        <w:spacing w:after="0"/>
      </w:pPr>
      <w:r>
        <w:rPr>
          <w:rStyle w:val="1503"/>
        </w:rPr>
        <w:t xml:space="preserve">кредитная организация не находится в процессе слияния, присоединения, санации (финансового оздоровления), внешнего управления, з</w:t>
      </w:r>
      <w:r>
        <w:rPr>
          <w:rStyle w:val="1503"/>
        </w:rPr>
        <w:t xml:space="preserve">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</w:t>
      </w:r>
      <w:r>
        <w:rPr>
          <w:rStyle w:val="1503"/>
        </w:rPr>
        <w:t xml:space="preserve">рывности деятельности банка</w:t>
      </w:r>
      <w:r>
        <w:t xml:space="preserve">;</w:t>
      </w:r>
      <w:r/>
    </w:p>
    <w:p>
      <w:pPr>
        <w:numPr>
          <w:ilvl w:val="0"/>
          <w:numId w:val="19"/>
        </w:numPr>
        <w:ind w:left="0" w:firstLine="567"/>
        <w:spacing w:after="0"/>
      </w:pPr>
      <w:r>
        <w:t xml:space="preserve">кредитная организация не находится в процессе ликвидации или банкротства;</w:t>
      </w:r>
      <w:r/>
    </w:p>
    <w:p>
      <w:pPr>
        <w:numPr>
          <w:ilvl w:val="0"/>
          <w:numId w:val="19"/>
        </w:numPr>
        <w:ind w:left="0" w:firstLine="567"/>
        <w:spacing w:after="0"/>
      </w:pPr>
      <w:r/>
      <w:bookmarkStart w:id="74" w:name="_Hlk183437361"/>
      <w:r>
        <w:t xml:space="preserve">кредитная организация входит в перечень кредитных организаций, соответствующих требованиям, установленным частями 1 - 1.2 и 1.5 статьи 2 Федерального зак</w:t>
      </w:r>
      <w:r>
        <w:t xml:space="preserve">она от 21.07.2014 № 213-ФЗ, пунктом 8 и абзацами первым, вторым и пятым пункта 9 статьи 24.1 Федерального закона от 14.11.2002 № 161-ФЗ и постановлением Правительства Российской Федерации от 20.06.2018 № 706;</w:t>
      </w:r>
      <w:r>
        <w:rPr>
          <w:rFonts w:eastAsia="Arial Unicode MS" w:cs="Arial Unicode MS"/>
          <w:color w:val="000000"/>
          <w:sz w:val="28"/>
          <w:szCs w:val="28"/>
        </w:rPr>
        <w:t xml:space="preserve"> </w:t>
      </w:r>
      <w:bookmarkEnd w:id="74"/>
      <w:r/>
      <w:r/>
    </w:p>
    <w:p>
      <w:pPr>
        <w:numPr>
          <w:ilvl w:val="0"/>
          <w:numId w:val="19"/>
        </w:numPr>
        <w:ind w:left="0" w:firstLine="567"/>
        <w:spacing w:after="0"/>
      </w:pPr>
      <w:r>
        <w:t xml:space="preserve">для банков, банковская лицензия которых предпо</w:t>
      </w:r>
      <w:r>
        <w:t xml:space="preserve">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>
        <w:rPr>
          <w:vertAlign w:val="superscript"/>
        </w:rPr>
        <w:footnoteReference w:customMarkFollows="1" w:id="4"/>
        <w:t xml:space="preserve">3.</w:t>
      </w:r>
      <w:r/>
    </w:p>
    <w:p>
      <w:pPr>
        <w:numPr>
          <w:ilvl w:val="0"/>
          <w:numId w:val="19"/>
        </w:numPr>
        <w:ind w:left="0" w:firstLine="567"/>
        <w:spacing w:after="0"/>
      </w:pPr>
      <w:r>
        <w:rPr>
          <w:u w:val="single"/>
        </w:rPr>
        <w:t xml:space="preserve">Требования к банкам-гарантам для отдельных видов гарантий</w:t>
      </w:r>
      <w:r>
        <w:rPr>
          <w:u w:val="single"/>
          <w:vertAlign w:val="superscript"/>
        </w:rPr>
        <w:footnoteReference w:customMarkFollows="1" w:id="5"/>
        <w:t xml:space="preserve">4</w:t>
      </w:r>
      <w:r/>
    </w:p>
    <w:tbl>
      <w:tblPr>
        <w:tblW w:w="9359" w:type="dxa"/>
        <w:tblInd w:w="-5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3"/>
        <w:gridCol w:w="2976"/>
      </w:tblGrid>
      <w:tr>
        <w:tblPrEx/>
        <w:trPr>
          <w:trHeight w:val="79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38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Критерии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  <w:vertAlign w:val="superscript"/>
              </w:rPr>
              <w:footnoteReference w:customMarkFollows="1" w:id="6"/>
              <w:t xml:space="preserve">5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Независим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ая гарантия обеспечения заявки участника закупочной процедуры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3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383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Размер собственного капитала банка</w:t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footnoteReference w:customMarkFollows="1" w:id="7"/>
              <w:t xml:space="preserve">6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менее 5 млрд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383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Кредитная организация входит в перечень банков, соответствующих требованиям ст. 2 Федерального закона от 21.07.2014 № 213-ФЗ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применяется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822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383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Кредитная организация входит в перечень банков, отвечающих требованиям для принятия банковских гарантий в целях налогообложения (в соответствии со статьей 74.1 Налогового кодекса)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383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Наличие долгосрочного кредитного рейтинга (в соответствии с п. 3.6.8 ж)</w:t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применяется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</w:tbl>
    <w:p>
      <w:pPr>
        <w:ind w:left="567"/>
        <w:spacing w:after="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p>
      <w:pPr>
        <w:numPr>
          <w:ilvl w:val="0"/>
          <w:numId w:val="19"/>
        </w:numPr>
        <w:ind w:left="0" w:firstLine="567"/>
        <w:spacing w:after="0"/>
        <w:rPr>
          <w:rFonts w:eastAsia="Arial Unicode MS" w:cs="Arial Unicode MS"/>
          <w:color w:val="000000"/>
        </w:rPr>
      </w:pPr>
      <w:r>
        <w:t xml:space="preserve">гарант имеет долгосрочный кредитный рейтинг по национальной шкале, присвоенный аккредитованными Банком России </w:t>
      </w:r>
      <w:r>
        <w:rPr>
          <w:rFonts w:eastAsia="Arial Unicode MS" w:cs="Arial Unicode MS"/>
          <w:color w:val="000000"/>
        </w:rPr>
        <w:t xml:space="preserve">рейтинговыми агентствами</w:t>
      </w:r>
      <w:r>
        <w:rPr>
          <w:rFonts w:eastAsia="Arial Unicode MS" w:cs="Arial Unicode MS"/>
          <w:color w:val="000000"/>
          <w:vertAlign w:val="superscript"/>
        </w:rPr>
        <w:footnoteReference w:customMarkFollows="1" w:id="8"/>
        <w:t xml:space="preserve">8</w:t>
      </w:r>
      <w:r>
        <w:rPr>
          <w:rFonts w:eastAsia="Arial Unicode MS" w:cs="Arial Unicode MS"/>
          <w:color w:val="000000"/>
        </w:rPr>
        <w:t xml:space="preserve">. При наличии у банка нескольких рейтингов учитывается наилучший. Требования к уровню рейтинга, приемлемого для принятия независимой гарантии, приведены ниже в таблице</w:t>
      </w:r>
      <w:r>
        <w:rPr>
          <w:rFonts w:eastAsia="Arial Unicode MS" w:cs="Arial Unicode MS"/>
          <w:color w:val="000000"/>
          <w:vertAlign w:val="superscript"/>
        </w:rPr>
        <w:footnoteReference w:customMarkFollows="1" w:id="9"/>
        <w:t xml:space="preserve">9</w:t>
      </w:r>
      <w:r>
        <w:rPr>
          <w:rFonts w:eastAsia="Arial Unicode MS" w:cs="Arial Unicode MS"/>
          <w:color w:val="000000"/>
        </w:rPr>
        <w:t xml:space="preserve">.</w:t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p>
      <w:pPr>
        <w:ind w:left="567"/>
        <w:spacing w:after="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tbl>
      <w:tblPr>
        <w:tblW w:w="9408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4f81bd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6"/>
        <w:gridCol w:w="2409"/>
        <w:gridCol w:w="2268"/>
        <w:gridCol w:w="2295"/>
      </w:tblGrid>
      <w:tr>
        <w:tblPrEx/>
        <w:trPr>
          <w:jc w:val="center"/>
          <w:trHeight w:val="300"/>
          <w:tblHeader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3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АКРА (АО)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АО «Эксперт РА»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14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ind w:left="-548" w:hanging="105"/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ООО «НКР»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95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ООО «НРА»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3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</w:t>
            </w:r>
            <w:r>
              <w:rPr>
                <w:rFonts w:eastAsia="Arial Unicode MS" w:cs="Arial Unicode MS"/>
                <w:color w:val="000000"/>
                <w:lang w:val="en-US"/>
              </w:rPr>
              <w:t xml:space="preserve"> </w:t>
            </w:r>
            <w:r>
              <w:rPr>
                <w:rFonts w:eastAsia="Arial Unicode MS" w:cs="Arial Unicode MS"/>
                <w:color w:val="000000"/>
              </w:rPr>
              <w:t xml:space="preserve">BBB-(RU)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</w:t>
            </w:r>
            <w:r>
              <w:rPr>
                <w:rFonts w:eastAsia="Arial Unicode MS" w:cs="Arial Unicode MS"/>
                <w:color w:val="000000"/>
                <w:lang w:val="en-US"/>
              </w:rPr>
              <w:t xml:space="preserve"> </w:t>
            </w:r>
            <w:r>
              <w:rPr>
                <w:rFonts w:eastAsia="Arial Unicode MS" w:cs="Arial Unicode MS"/>
                <w:color w:val="000000"/>
              </w:rPr>
              <w:t xml:space="preserve">ruBBB-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 BBB-.ru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 BBB-|ru|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</w:tr>
    </w:tbl>
    <w:p>
      <w:pPr>
        <w:ind w:left="567"/>
        <w:spacing w:after="0"/>
      </w:pPr>
      <w:r/>
      <w:r/>
    </w:p>
    <w:p>
      <w:pPr>
        <w:numPr>
          <w:ilvl w:val="0"/>
          <w:numId w:val="19"/>
        </w:numPr>
        <w:ind w:left="0" w:firstLine="567"/>
        <w:spacing w:after="0"/>
      </w:pPr>
      <w:r>
        <w:t xml:space="preserve">обеспечение заявки может быть оформлено в виде отдельной независимой гарантии по каждому лоту, либо в виде одной независимой гарантии на общую сумму гарантии по всем лотам, на которые участник подает заявки.</w:t>
      </w:r>
      <w:r/>
    </w:p>
    <w:p>
      <w:pPr>
        <w:numPr>
          <w:ilvl w:val="2"/>
          <w:numId w:val="1"/>
        </w:numPr>
        <w:ind w:left="0" w:firstLine="567"/>
        <w:spacing w:after="0"/>
        <w:rPr>
          <w:bCs/>
        </w:rPr>
        <w:outlineLvl w:val="2"/>
      </w:pPr>
      <w:r>
        <w:rPr>
          <w:bCs/>
        </w:rPr>
        <w:t xml:space="preserve">Вместе с гарантией участник представляет следующие документы подтверждающие полномочия лица, подписавшего гарантию от имени гаранта: доверенность на уполномоченное лицо, действующее от имени гаранта (оригинал/нотариально заверенная копия/копия, заверенная </w:t>
      </w:r>
      <w:r>
        <w:rPr>
          <w:bCs/>
        </w:rPr>
        <w:t xml:space="preserve">гарантом) (в случае если независимая гарантия подписана уполномоченным лицом, действующим от имени гаранта на основании доверенности), а также решение (выписка из протокола) уполномоченного органа управления гаранта о назначении (избрании) единоличного исп</w:t>
      </w:r>
      <w:r>
        <w:rPr>
          <w:bCs/>
        </w:rPr>
        <w:t xml:space="preserve">олнительного органа гаранта (копия, заверенная гарантом). 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</w:t>
      </w:r>
      <w:r>
        <w:rPr>
          <w:bCs/>
        </w:rPr>
        <w:t xml:space="preserve">веренная гарантом).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num" w:pos="312" w:leader="none"/>
          <w:tab w:val="clear" w:pos="454" w:leader="none"/>
        </w:tabs>
        <w:outlineLvl w:val="2"/>
      </w:pPr>
      <w:r>
        <w:t xml:space="preserve">Форма независимой гарантии, иные требования, связанные с независимой гарантией, установлены в части </w:t>
      </w:r>
      <w:hyperlink w:tooltip="#_VII._ТИПОВ" w:anchor="_VII._ТИПОВ" w:history="1">
        <w:r>
          <w:rPr>
            <w:rStyle w:val="1364"/>
          </w:rPr>
          <w:t xml:space="preserve">VII «ТИПОВЫЕ ФОРМЫ НЕЗАВИСИМЫХ ГАРАНТИЙ»</w:t>
        </w:r>
      </w:hyperlink>
      <w:r>
        <w:t xml:space="preserve">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num" w:pos="312" w:leader="none"/>
          <w:tab w:val="clear" w:pos="454" w:leader="none"/>
        </w:tabs>
        <w:outlineLvl w:val="2"/>
      </w:pPr>
      <w:r>
        <w:t xml:space="preserve">Независимая гарантия, может быть выдана в пис</w:t>
      </w:r>
      <w:r>
        <w:t xml:space="preserve">ьменной форме на бумажном носителе или в форме электронного документа, подписанного усиленной квалифицированной электронной подписью (УКЭП).</w:t>
      </w:r>
      <w:r/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Несоответствие независимой гарантии, предоставленной участником закупки </w:t>
      </w:r>
      <w:r>
        <w:br/>
        <w:t xml:space="preserve">с требованиями, предусмотренными пунктом </w:t>
      </w:r>
      <w:hyperlink w:tooltip="#_3.6._Требо" w:anchor="_3.6._Требо" w:history="1">
        <w:r>
          <w:rPr>
            <w:rStyle w:val="1364"/>
          </w:rPr>
          <w:t xml:space="preserve">3.6</w:t>
        </w:r>
      </w:hyperlink>
      <w:r>
        <w:t xml:space="preserve"> Документации, является основанием для отказа в допуске к участию в закупке.</w:t>
      </w:r>
      <w:r/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Взыскание по независимой гарантии производится при наступлении обстоятельств, предусмотренных независимой гарантией.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4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5" w:name="_Порядок_действий,_осуществляемых"/>
      <w:r/>
      <w:bookmarkStart w:id="76" w:name="_Toc24"/>
      <w:r/>
      <w:bookmarkEnd w:id="75"/>
      <w:r>
        <w:rPr>
          <w:sz w:val="24"/>
          <w:szCs w:val="24"/>
        </w:rPr>
        <w:t xml:space="preserve">Порядок действий, осуществляемых Заказчиком в ходе проведения закупки, в случае предложения участником закупки аномально низкой цены </w:t>
      </w:r>
      <w:bookmarkEnd w:id="7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hd w:val="clear" w:color="auto" w:fill="ffffff"/>
        </w:rPr>
        <w:t xml:space="preserve">Под аномально низкой ценой понимается снижение цены участником закупки относительно начальной (максимальной) цены договора</w:t>
      </w:r>
      <w:r>
        <w:rPr>
          <w:rFonts w:ascii="Times New Roman" w:hAnsi="Times New Roman" w:cs="Times New Roman"/>
          <w:b w:val="0"/>
          <w:bCs w:val="0"/>
          <w:color w:val="000000" w:themeColor="text1"/>
          <w:shd w:val="clear" w:color="auto" w:fill="ffffff"/>
        </w:rPr>
        <w:t xml:space="preserve"> (цены лота) или условной (максимальной) цены договора (в случае  заключения договора по результатам закупки фиксирующего номенклатуру продукции и единичные расценки на нее, и приобретение заказчиком товаров (работ, услуг) по фактической потребности из чис</w:t>
      </w:r>
      <w:r>
        <w:rPr>
          <w:rFonts w:ascii="Times New Roman" w:hAnsi="Times New Roman" w:cs="Times New Roman"/>
          <w:b w:val="0"/>
          <w:bCs w:val="0"/>
          <w:color w:val="000000" w:themeColor="text1"/>
          <w:shd w:val="clear" w:color="auto" w:fill="ffffff"/>
        </w:rPr>
        <w:t xml:space="preserve">ла установленной договором номенклатуры и по цене согласно установленным единичным расценкам), указанной в извещении о закупки и документации о закупке на 25 (двадцать пять) и более процентов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7" w:name="_3.7.2._В_с"/>
      <w:r/>
      <w:bookmarkStart w:id="78" w:name="_В_случае_если"/>
      <w:r/>
      <w:bookmarkEnd w:id="77"/>
      <w:r/>
      <w:bookmarkEnd w:id="78"/>
      <w:r>
        <w:rPr>
          <w:rFonts w:ascii="Times New Roman" w:hAnsi="Times New Roman" w:cs="Times New Roman"/>
          <w:b w:val="0"/>
        </w:rPr>
        <w:t xml:space="preserve">В случае если при проведении закупки победителем (либо единстве</w:t>
      </w:r>
      <w:r>
        <w:rPr>
          <w:rFonts w:ascii="Times New Roman" w:hAnsi="Times New Roman" w:cs="Times New Roman"/>
          <w:b w:val="0"/>
        </w:rPr>
        <w:t xml:space="preserve">нным участником, признанным соответствующим требованиям извещения о закупке) признается участник, предложивший аномально низкое ценовое предложение, таким участником предоставляется обеспечение исполнения договора в следующем размере: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tbl>
      <w:tblPr>
        <w:tblW w:w="9464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43"/>
        <w:gridCol w:w="1826"/>
        <w:gridCol w:w="1700"/>
        <w:gridCol w:w="1702"/>
        <w:gridCol w:w="3793"/>
      </w:tblGrid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vMerge w:val="restart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2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Матрица договорны</w:t>
            </w:r>
            <w:r>
              <w:rPr>
                <w:sz w:val="22"/>
                <w:szCs w:val="22"/>
              </w:rPr>
              <w:t xml:space="preserve">х условий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93" w:type="dxa"/>
            <w:vAlign w:val="center"/>
            <w:vMerge w:val="restart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размера обеспечения исполнения договора в случае подачи участником закупки аномально низкого ценового предложения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Требование по обеспечению исполнения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Авансирование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на возврат авансового платежа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93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5% (пять) от начальной (максимальной) цены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увеличенное от первоначально установленного обеспечения исполнения договора в 1,5 (полтора) раза, но не менее 5% (пяти) от начальной (максимальной) цены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исполнения договора в размере аван</w:t>
            </w:r>
            <w:r>
              <w:rPr>
                <w:sz w:val="22"/>
                <w:szCs w:val="22"/>
              </w:rPr>
              <w:t xml:space="preserve">са, но не менее 5% (пяти) от начальной (максимальной) цены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исполнения договора в размере аванса, но не менее 5% (пяти) от начальной (максимальной) цены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увеличенное от первоначально установленного обеспечения исполнения договора в 1,5 (полтора) раза, но не менее размера аванса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21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увеличенное от перво</w:t>
            </w:r>
            <w:r>
              <w:rPr>
                <w:sz w:val="22"/>
                <w:szCs w:val="22"/>
              </w:rPr>
              <w:t xml:space="preserve">начально установленного обеспечение исполнения договора в 1,5 (полтора) раза, но не менее 5% (пяти) от начальной (максимальной) цены договора, и обеспечение возврата авансовых платежей в размере, установленном в документации о закупке (извещении о закупке)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r/>
      <w:r/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Обеспечение исполнения договора может быть представлено в форме внесения денежных средств на счет Заказчика или в форме независимой гарантии. Выбор способа обеспечения исполнения обязательств по договору</w:t>
      </w:r>
      <w:r>
        <w:rPr>
          <w:rFonts w:ascii="Times New Roman" w:hAnsi="Times New Roman" w:cs="Times New Roman"/>
          <w:b w:val="0"/>
          <w:bCs w:val="0"/>
        </w:rPr>
        <w:t xml:space="preserve">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участником закупки решения о предоставлении обеспечения исполнения обязательств </w:t>
      </w:r>
      <w:r>
        <w:rPr>
          <w:rFonts w:ascii="Times New Roman" w:hAnsi="Times New Roman" w:cs="Times New Roman"/>
          <w:b w:val="0"/>
          <w:bCs w:val="0"/>
        </w:rPr>
        <w:t xml:space="preserve">по договору, предусмотренного в пункте </w:t>
      </w:r>
      <w:hyperlink w:tooltip="#_3.7.2._В_с" w:anchor="_3.7.2._В_с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3.7.2 </w:t>
        </w:r>
      </w:hyperlink>
      <w:r>
        <w:rPr>
          <w:rFonts w:ascii="Times New Roman" w:hAnsi="Times New Roman" w:cs="Times New Roman"/>
          <w:b w:val="0"/>
          <w:bCs w:val="0"/>
        </w:rPr>
        <w:t xml:space="preserve">документации о закупке в форме денежных средств, такие средства перечисляются на расчетный счет Заказчика, указанный в соответствующем разделе Проекта договора. В</w:t>
      </w:r>
      <w:r>
        <w:rPr>
          <w:rFonts w:ascii="Times New Roman" w:hAnsi="Times New Roman" w:cs="Times New Roman"/>
          <w:b w:val="0"/>
          <w:bCs w:val="0"/>
        </w:rPr>
        <w:t xml:space="preserve">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проекте договора. В с</w:t>
      </w:r>
      <w:r>
        <w:rPr>
          <w:rFonts w:ascii="Times New Roman" w:hAnsi="Times New Roman" w:cs="Times New Roman"/>
          <w:b w:val="0"/>
          <w:bCs w:val="0"/>
        </w:rPr>
        <w:t xml:space="preserve">лучае отсутствия в проекте договора установленного срока предоставления обеспечения исполнения договора такое обеспечение предоставляется до момента подписания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решения о предоставлении обеспечения исполнения обязательств по дого</w:t>
      </w:r>
      <w:r>
        <w:rPr>
          <w:rFonts w:ascii="Times New Roman" w:hAnsi="Times New Roman" w:cs="Times New Roman"/>
          <w:b w:val="0"/>
          <w:bCs w:val="0"/>
        </w:rPr>
        <w:t xml:space="preserve">вору, предусмотренного в пункте </w:t>
      </w:r>
      <w:hyperlink w:tooltip="#_В_случае_если" w:anchor="_В_случае_если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3.7.2</w:t>
        </w:r>
      </w:hyperlink>
      <w:r>
        <w:rPr>
          <w:rFonts w:ascii="Times New Roman" w:hAnsi="Times New Roman" w:cs="Times New Roman"/>
          <w:b w:val="0"/>
          <w:bCs w:val="0"/>
        </w:rPr>
        <w:t xml:space="preserve"> документации о закупке в форме независимой гарантии, такая гарантия, а также банк-гарант должны соответствовать требованиям, установленным в пункте </w:t>
      </w:r>
      <w:hyperlink w:tooltip="#_Требования_к_условиям" w:anchor="_Требования_к_условиям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6.3</w:t>
        </w:r>
      </w:hyperlink>
      <w:r>
        <w:rPr>
          <w:rFonts w:ascii="Times New Roman" w:hAnsi="Times New Roman" w:cs="Times New Roman"/>
          <w:b w:val="0"/>
          <w:bCs w:val="0"/>
        </w:rPr>
        <w:t xml:space="preserve"> настоящей документации.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проект договора не содержит раздела по предоставлению обеспечения исполнения договора и победителем закупки (единственным участником закупки) подано аномальн</w:t>
      </w:r>
      <w:r>
        <w:rPr>
          <w:rFonts w:ascii="Times New Roman" w:hAnsi="Times New Roman" w:cs="Times New Roman"/>
          <w:b w:val="0"/>
          <w:bCs w:val="0"/>
        </w:rPr>
        <w:t xml:space="preserve">о низкое ценовое предложение, договор дополняется соответствующим разделом.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1144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79" w:name="_Toc25"/>
      <w:r>
        <w:rPr>
          <w:sz w:val="24"/>
          <w:szCs w:val="24"/>
        </w:rPr>
        <w:t xml:space="preserve">ПОДАЧА ЗАЯВОК НА УЧАСТИЕ В ЗАКУПКЕ</w:t>
      </w:r>
      <w:bookmarkEnd w:id="7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0" w:name="_Ref166249895"/>
      <w:r/>
      <w:bookmarkStart w:id="81" w:name="_Toc26"/>
      <w:r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80"/>
      <w:r>
        <w:rPr>
          <w:sz w:val="24"/>
          <w:szCs w:val="24"/>
        </w:rPr>
        <w:t xml:space="preserve">закупке</w:t>
      </w:r>
      <w:bookmarkEnd w:id="8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ЭТП в сроки, установленные в пункте </w:t>
      </w:r>
      <w:hyperlink w:tooltip="#_Дата_рассмотрения_предложений" w:anchor="_Дата_рассмотрения_предложений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закупки в отношении каждого лота.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2" w:name="_Ref119429670"/>
      <w:r/>
      <w:bookmarkStart w:id="83" w:name="_Toc27"/>
      <w:r>
        <w:rPr>
          <w:sz w:val="24"/>
          <w:szCs w:val="24"/>
        </w:rPr>
        <w:t xml:space="preserve">Изменения и отзыв заявок на участие в </w:t>
      </w:r>
      <w:bookmarkEnd w:id="82"/>
      <w:r>
        <w:rPr>
          <w:sz w:val="24"/>
          <w:szCs w:val="24"/>
        </w:rPr>
        <w:t xml:space="preserve">закупке</w:t>
      </w:r>
      <w:bookmarkEnd w:id="8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закупке</w:t>
      </w:r>
      <w:r>
        <w:rPr>
          <w:rFonts w:ascii="Times New Roman" w:hAnsi="Times New Roman" w:cs="Times New Roman"/>
          <w:b w:val="0"/>
          <w:bCs w:val="0"/>
        </w:rPr>
        <w:t xml:space="preserve">, вправе изменить или отозвать заявку на участие в закупке в любое время до момента окончания срока подачи заявок на участие в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заявок на участие в закупке определен Регламентом работы ЭТП.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</w:t>
      </w:r>
      <w:r>
        <w:rPr>
          <w:rFonts w:ascii="Times New Roman" w:hAnsi="Times New Roman" w:cs="Times New Roman"/>
          <w:b w:val="0"/>
          <w:bCs w:val="0"/>
        </w:rPr>
        <w:t xml:space="preserve">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1144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84" w:name="_Toc28"/>
      <w:r/>
      <w:bookmarkStart w:id="85" w:name="_Ref119430360"/>
      <w:r>
        <w:rPr>
          <w:sz w:val="24"/>
          <w:szCs w:val="24"/>
        </w:rPr>
        <w:t xml:space="preserve">ПОРЯДОК ПРОВЕДЕНИЯ ЗАКУПКИ</w:t>
      </w:r>
      <w:bookmarkEnd w:id="8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6" w:name="_Toc29"/>
      <w:r/>
      <w:bookmarkStart w:id="87" w:name="_Ref125827199"/>
      <w:r/>
      <w:bookmarkEnd w:id="85"/>
      <w:r>
        <w:rPr>
          <w:sz w:val="24"/>
          <w:szCs w:val="24"/>
        </w:rPr>
        <w:t xml:space="preserve">Закупочная комиссия</w:t>
      </w:r>
      <w:bookmarkEnd w:id="8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</w:t>
      </w:r>
      <w:r>
        <w:rPr>
          <w:rFonts w:ascii="Times New Roman" w:hAnsi="Times New Roman" w:cs="Times New Roman"/>
          <w:b w:val="0"/>
          <w:bCs w:val="0"/>
        </w:rPr>
        <w:t xml:space="preserve"> заявок осуществляется Закупочной комиссией, осуществляющей свои полномочия в порядке, установленном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8" w:name="_Toc30"/>
      <w:r>
        <w:rPr>
          <w:sz w:val="24"/>
          <w:szCs w:val="24"/>
        </w:rPr>
        <w:t xml:space="preserve">Требования к процедуре рассмотрения, оценки и сопоставления заявок участников закупки</w:t>
      </w:r>
      <w:bookmarkEnd w:id="8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</w:t>
      </w:r>
      <w:r>
        <w:rPr>
          <w:rFonts w:ascii="Times New Roman" w:hAnsi="Times New Roman" w:cs="Times New Roman"/>
          <w:b w:val="0"/>
          <w:bCs w:val="0"/>
        </w:rPr>
        <w:t xml:space="preserve">оответствии с требованиями, критериями и порядком оценки заявок, устанавливаемыми в документации о закупке, на </w:t>
      </w:r>
      <w:r>
        <w:rPr>
          <w:rFonts w:ascii="Times New Roman" w:hAnsi="Times New Roman" w:cs="Times New Roman"/>
          <w:b w:val="0"/>
          <w:bCs w:val="0"/>
        </w:rPr>
        <w:t xml:space="preserve">основании представленных в составе заявок сведений и документов, а также иных источников информации, предусмотренных документацией о закупке, зак</w:t>
      </w:r>
      <w:r>
        <w:rPr>
          <w:rFonts w:ascii="Times New Roman" w:hAnsi="Times New Roman" w:cs="Times New Roman"/>
          <w:b w:val="0"/>
          <w:bCs w:val="0"/>
        </w:rPr>
        <w:t xml:space="preserve">онодательством Российской Федерации, в том числе официальных сайтов государственных органов, организаций в сети Интернет.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рамках рассмотрения заявок закупочная комиссия вправе направить участнику закупки запрос на разъяснение положений заявки участника, </w:t>
      </w:r>
      <w:r>
        <w:rPr>
          <w:rFonts w:ascii="Times New Roman" w:hAnsi="Times New Roman" w:cs="Times New Roman"/>
          <w:b w:val="0"/>
          <w:bCs w:val="0"/>
        </w:rPr>
        <w:t xml:space="preserve">с указанием срока его выполнения. При этом, не допускаются запросы или требования о представлении участником недостающих документов. Не принимаются к рассмотрению документы и сведения, направленные участником в ходе исполнения запроса, которые изменяют сущ</w:t>
      </w:r>
      <w:r>
        <w:rPr>
          <w:rFonts w:ascii="Times New Roman" w:hAnsi="Times New Roman" w:cs="Times New Roman"/>
          <w:b w:val="0"/>
          <w:bCs w:val="0"/>
        </w:rPr>
        <w:t xml:space="preserve">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 в случаях: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457"/>
        <w:numPr>
          <w:ilvl w:val="0"/>
          <w:numId w:val="10"/>
        </w:numPr>
        <w:ind w:left="0" w:firstLine="567"/>
        <w:jc w:val="both"/>
      </w:pPr>
      <w:r>
        <w:t xml:space="preserve">в случае отсутствия в состав</w:t>
      </w:r>
      <w:r>
        <w:t xml:space="preserve">е заявки документов и сведений, предусмотренных для предоставления в заявки, указанных в пункте </w:t>
      </w:r>
      <w:hyperlink w:tooltip="#_Сведения_и_документы," w:anchor="_Сведения_и" w:history="1">
        <w:r>
          <w:rPr>
            <w:rStyle w:val="1364"/>
          </w:rPr>
          <w:t xml:space="preserve">17 части II «ИНФОРМАЦИОННАЯ КАРТА ЗАКУПКИ»</w:t>
        </w:r>
      </w:hyperlink>
      <w:r>
        <w:t xml:space="preserve">;</w:t>
      </w:r>
      <w:r/>
    </w:p>
    <w:p>
      <w:pPr>
        <w:pStyle w:val="1457"/>
        <w:numPr>
          <w:ilvl w:val="0"/>
          <w:numId w:val="10"/>
        </w:numPr>
        <w:ind w:left="0" w:firstLine="567"/>
        <w:jc w:val="both"/>
        <w:rPr>
          <w:rStyle w:val="1364"/>
          <w:color w:val="auto"/>
          <w:u w:val="none"/>
        </w:rPr>
      </w:pPr>
      <w:r>
        <w:t xml:space="preserve">несоответствие участника закупки, в том числе несоответс</w:t>
      </w:r>
      <w:r>
        <w:t xml:space="preserve">твие лиц (одного или нескольких), выступающих на стороне одного участника закупки, требованиям, установленным в пункте </w:t>
      </w:r>
      <w:hyperlink w:tooltip="#_1.4._Требо" w:anchor="_1.4._Требо" w:history="1">
        <w:r>
          <w:rPr>
            <w:rStyle w:val="1364"/>
          </w:rPr>
          <w:t xml:space="preserve">1.4 части I «ОБЩИЕ УСЛОВИЯ ПРОВЕДЕНИЯ ЗАКУПКИ»</w:t>
        </w:r>
      </w:hyperlink>
      <w:r>
        <w:rPr>
          <w:rStyle w:val="1364"/>
          <w:color w:val="000000" w:themeColor="text1"/>
          <w:u w:val="none"/>
        </w:rPr>
        <w:t xml:space="preserve">;</w:t>
      </w:r>
      <w:r>
        <w:rPr>
          <w:rStyle w:val="1364"/>
          <w:color w:val="auto"/>
          <w:u w:val="none"/>
        </w:rPr>
      </w:r>
      <w:r>
        <w:rPr>
          <w:rStyle w:val="1364"/>
          <w:color w:val="auto"/>
          <w:u w:val="none"/>
        </w:rPr>
      </w:r>
    </w:p>
    <w:p>
      <w:pPr>
        <w:pStyle w:val="1457"/>
        <w:numPr>
          <w:ilvl w:val="0"/>
          <w:numId w:val="10"/>
        </w:numPr>
        <w:ind w:left="0" w:firstLine="567"/>
        <w:jc w:val="both"/>
      </w:pPr>
      <w:r>
        <w:t xml:space="preserve">несоответствие предлагаемой </w:t>
      </w:r>
      <w:r>
        <w:t xml:space="preserve">продукции и/или условий выполнения работ, исполнения договора требованиям, установленным в частях IV – V документации о закупке и пункта </w:t>
      </w:r>
      <w:hyperlink w:tooltip="#_Предмет_договора_с" w:anchor="_Предмет_договора_с" w:history="1">
        <w:r>
          <w:rPr>
            <w:rStyle w:val="1364"/>
          </w:rPr>
          <w:t xml:space="preserve">3 части II «ИНФОРМАЦИОННАЯ КАРТА ЗАКУПКИ»</w:t>
        </w:r>
      </w:hyperlink>
      <w:r>
        <w:t xml:space="preserve">, </w:t>
      </w:r>
      <w:hyperlink w:tooltip="#_Место_поставки_товара/" w:anchor="_Место_поставки_товара/" w:history="1">
        <w:r>
          <w:rPr>
            <w:rStyle w:val="1364"/>
          </w:rPr>
          <w:t xml:space="preserve">4 части II «ИНФОРМАЦИОННАЯ КАРТА ЗАКУПКИ»</w:t>
        </w:r>
      </w:hyperlink>
      <w:r>
        <w:t xml:space="preserve">, </w:t>
      </w:r>
      <w:hyperlink w:tooltip="#_Сроки_поставки_товара/" w:anchor="_Сроки_поставки_товара/" w:history="1">
        <w:r>
          <w:rPr>
            <w:rStyle w:val="1364"/>
          </w:rPr>
          <w:t xml:space="preserve">5 части II «ИНФОРМАЦИОННАЯ КАРТА ЗАКУПКИ»</w:t>
        </w:r>
      </w:hyperlink>
      <w:r>
        <w:rPr>
          <w:rStyle w:val="1364"/>
          <w:color w:val="000000" w:themeColor="text1"/>
          <w:u w:val="none"/>
        </w:rPr>
        <w:t xml:space="preserve">;</w:t>
      </w:r>
      <w:r/>
    </w:p>
    <w:p>
      <w:pPr>
        <w:pStyle w:val="1457"/>
        <w:numPr>
          <w:ilvl w:val="0"/>
          <w:numId w:val="10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несоответствие заявки участника требованиям, установленным в Закупочной документации, в том числе требования к содержанию и оформлению заявки, не соответствия по сроку действия оферты;</w:t>
      </w:r>
      <w:r/>
    </w:p>
    <w:p>
      <w:pPr>
        <w:pStyle w:val="1457"/>
        <w:numPr>
          <w:ilvl w:val="0"/>
          <w:numId w:val="10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 предоставления Участником закупки обеспечения заявки либо предоставл</w:t>
      </w:r>
      <w:r>
        <w:rPr>
          <w:bCs/>
        </w:rPr>
        <w:t xml:space="preserve">ение обеспечения заявки не соответствующего требованиям настоящей документации (в случае если требование о предоставлении обеспечения заявки установлено в пункте </w:t>
      </w:r>
      <w:hyperlink w:tooltip="#_Размер_обеспечения_заявок" w:anchor="_Размер_обе" w:history="1">
        <w:r>
          <w:rPr>
            <w:rStyle w:val="1364"/>
          </w:rPr>
          <w:t xml:space="preserve">11 части II «ИНФОРМАЦИОННАЯ КА</w:t>
        </w:r>
        <w:r>
          <w:rPr>
            <w:rStyle w:val="1364"/>
          </w:rPr>
          <w:t xml:space="preserve">РТА ЗАКУПКИ»</w:t>
        </w:r>
      </w:hyperlink>
      <w:r>
        <w:rPr>
          <w:rStyle w:val="1364"/>
          <w:color w:val="000000" w:themeColor="text1"/>
          <w:u w:val="none"/>
        </w:rPr>
        <w:t xml:space="preserve">);</w:t>
      </w:r>
      <w:r/>
    </w:p>
    <w:p>
      <w:pPr>
        <w:pStyle w:val="1457"/>
        <w:numPr>
          <w:ilvl w:val="0"/>
          <w:numId w:val="10"/>
        </w:numPr>
        <w:ind w:left="0" w:firstLine="567"/>
        <w:jc w:val="both"/>
        <w:tabs>
          <w:tab w:val="left" w:pos="1418" w:leader="none"/>
        </w:tabs>
      </w:pPr>
      <w:r>
        <w:t xml:space="preserve">цена заявки участника превышает установленную в пункте </w:t>
      </w:r>
      <w:hyperlink w:tooltip="#_Сведения_о_начальной" w:anchor="_Сведения_о" w:history="1">
        <w:r>
          <w:rPr>
            <w:rStyle w:val="1364"/>
          </w:rPr>
          <w:t xml:space="preserve">7 части II «ИНФОРМАЦИОННАЯ КАРТА ЗАКУПКИ»</w:t>
        </w:r>
      </w:hyperlink>
      <w:r>
        <w:t xml:space="preserve"> начальную (максимальную) цену договора (цену лота), в случае непредставления документ</w:t>
      </w:r>
      <w:r>
        <w:t xml:space="preserve">ов и сведений, предусмотренных для предоставления в составе ценового предложения, указанных в </w:t>
      </w:r>
      <w:hyperlink w:tooltip="#_Сведения_и_документы," w:anchor="_Сведения_и_документы," w:history="1">
        <w:r>
          <w:t xml:space="preserve">пункте </w:t>
        </w:r>
        <w:r>
          <w:rPr>
            <w:rStyle w:val="1364"/>
          </w:rPr>
          <w:t xml:space="preserve">17 части II «ИНФОРМАЦИОННАЯ КАРТА ЗАКУПКИ»</w:t>
        </w:r>
      </w:hyperlink>
      <w:r>
        <w:rPr>
          <w:color w:val="0000ff"/>
        </w:rPr>
        <w:t xml:space="preserve">.</w:t>
      </w:r>
      <w:r/>
    </w:p>
    <w:p>
      <w:pPr>
        <w:pStyle w:val="1457"/>
        <w:numPr>
          <w:ilvl w:val="0"/>
          <w:numId w:val="10"/>
        </w:numPr>
        <w:ind w:left="0" w:firstLine="567"/>
        <w:jc w:val="both"/>
      </w:pPr>
      <w:r>
        <w:t xml:space="preserve">наличие в составе заявки недостоверных с</w:t>
      </w:r>
      <w:r>
        <w:t xml:space="preserve">ведений.</w:t>
      </w:r>
      <w:r/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</w:t>
      </w:r>
      <w:r>
        <w:rPr>
          <w:rFonts w:ascii="Times New Roman" w:hAnsi="Times New Roman" w:cs="Times New Roman"/>
          <w:b w:val="0"/>
          <w:bCs w:val="0"/>
        </w:rPr>
        <w:t xml:space="preserve">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Орг</w:t>
      </w:r>
      <w:r>
        <w:rPr>
          <w:rFonts w:ascii="Times New Roman" w:hAnsi="Times New Roman" w:cs="Times New Roman"/>
          <w:b w:val="0"/>
          <w:bCs w:val="0"/>
        </w:rPr>
        <w:t xml:space="preserve">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</w:t>
      </w:r>
      <w:r>
        <w:rPr>
          <w:rFonts w:ascii="Times New Roman" w:hAnsi="Times New Roman" w:cs="Times New Roman"/>
          <w:b w:val="0"/>
          <w:bCs w:val="0"/>
        </w:rPr>
        <w:t xml:space="preserve">ок на участие в закупке закупочной комиссией принимается решение: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7"/>
        <w:numPr>
          <w:ilvl w:val="0"/>
          <w:numId w:val="11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соответствующей требованиям документации о закупке;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47"/>
        <w:numPr>
          <w:ilvl w:val="0"/>
          <w:numId w:val="11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несоответствующими требованиям документации о з</w:t>
      </w:r>
      <w:r>
        <w:rPr>
          <w:rFonts w:ascii="Times New Roman" w:hAnsi="Times New Roman" w:cs="Times New Roman"/>
        </w:rPr>
        <w:t xml:space="preserve">акупке и отклонении заявки участника от участия в закупке.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</w:t>
      </w:r>
      <w:r>
        <w:rPr>
          <w:rFonts w:ascii="Times New Roman" w:hAnsi="Times New Roman" w:cs="Times New Roman"/>
          <w:b w:val="0"/>
          <w:bCs w:val="0"/>
        </w:rPr>
        <w:t xml:space="preserve">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</w:t>
      </w:r>
      <w:r>
        <w:rPr>
          <w:rFonts w:ascii="Times New Roman" w:hAnsi="Times New Roman" w:cs="Times New Roman"/>
          <w:b w:val="0"/>
          <w:bCs w:val="0"/>
        </w:rPr>
        <w:t xml:space="preserve">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9" w:name="_Toc31"/>
      <w:r>
        <w:rPr>
          <w:sz w:val="24"/>
          <w:szCs w:val="24"/>
        </w:rPr>
        <w:t xml:space="preserve">Критерии оценки заявок участников закупки</w:t>
      </w:r>
      <w:bookmarkEnd w:id="8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hyperlink w:tooltip="#_Приложение_№_1" w:anchor="_Приложение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Прил</w:t>
        </w:r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ожении № 1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white"/>
        </w:rPr>
      </w:pPr>
      <w:r>
        <w:rPr>
          <w:rFonts w:ascii="Times New Roman" w:hAnsi="Times New Roman" w:cs="Times New Roman"/>
          <w:b w:val="0"/>
          <w:bCs w:val="0"/>
          <w:highlight w:val="white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</w:t>
      </w:r>
      <w:r>
        <w:rPr>
          <w:rFonts w:ascii="Times New Roman" w:hAnsi="Times New Roman" w:cs="Times New Roman"/>
          <w:b w:val="0"/>
          <w:bCs w:val="0"/>
          <w:highlight w:val="white"/>
        </w:rPr>
        <w:t xml:space="preserve">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</w:t>
      </w:r>
      <w:r>
        <w:rPr>
          <w:rFonts w:ascii="Times New Roman" w:hAnsi="Times New Roman" w:cs="Times New Roman"/>
          <w:b w:val="0"/>
          <w:bCs w:val="0"/>
          <w:highlight w:val="white"/>
        </w:rPr>
        <w:t xml:space="preserve">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  <w:highlight w:val="white"/>
        </w:rPr>
      </w:r>
      <w:r>
        <w:rPr>
          <w:rFonts w:ascii="Times New Roman" w:hAnsi="Times New Roman" w:cs="Times New Roman"/>
          <w:b w:val="0"/>
          <w:bCs w:val="0"/>
          <w:highlight w:val="white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участников осуществляется в рамка</w:t>
      </w:r>
      <w:r>
        <w:rPr>
          <w:rFonts w:ascii="Times New Roman" w:hAnsi="Times New Roman" w:cs="Times New Roman"/>
          <w:b w:val="0"/>
          <w:bCs w:val="0"/>
        </w:rPr>
        <w:t xml:space="preserve">х проведения этапов закупки, установленных в пункте </w:t>
      </w:r>
      <w:hyperlink w:tooltip="#_Дата_рассмотрения_предложений" w:anchor="_Дата_рассмотрения_предложений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с учетом сведений и документов, содержащихся в заявках участников закупок, </w:t>
      </w:r>
      <w:r>
        <w:rPr>
          <w:rFonts w:ascii="Times New Roman" w:hAnsi="Times New Roman" w:cs="Times New Roman"/>
          <w:b w:val="0"/>
          <w:bCs w:val="0"/>
        </w:rPr>
        <w:t xml:space="preserve">направляемых Заказчику оператором 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</w:t>
      </w:r>
      <w:r>
        <w:rPr>
          <w:rFonts w:ascii="Times New Roman" w:hAnsi="Times New Roman" w:cs="Times New Roman"/>
          <w:b w:val="0"/>
          <w:bCs w:val="0"/>
        </w:rPr>
        <w:t xml:space="preserve">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</w:t>
      </w:r>
      <w:r>
        <w:rPr>
          <w:rFonts w:ascii="Times New Roman" w:hAnsi="Times New Roman" w:cs="Times New Roman"/>
          <w:b w:val="0"/>
          <w:bCs w:val="0"/>
        </w:rPr>
        <w:t xml:space="preserve">отокол.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 Победителем закупки признается участник закупки, заявка на участие в закупке, окончательное предложение которого соответствует требованиям, установленным документацией о закупке, и заявка, окончательное предложение которого по результатам сопостав</w:t>
      </w:r>
      <w:r>
        <w:rPr>
          <w:rFonts w:ascii="Times New Roman" w:hAnsi="Times New Roman" w:cs="Times New Roman"/>
          <w:b w:val="0"/>
          <w:bCs w:val="0"/>
        </w:rPr>
        <w:t xml:space="preserve">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>
        <w:rPr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</w:t>
      </w:r>
      <w:r>
        <w:rPr>
          <w:rFonts w:ascii="Times New Roman" w:hAnsi="Times New Roman" w:cs="Times New Roman"/>
          <w:b w:val="0"/>
        </w:rPr>
        <w:t xml:space="preserve">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0" w:name="_Toc32"/>
      <w:r>
        <w:rPr>
          <w:sz w:val="24"/>
          <w:szCs w:val="24"/>
        </w:rPr>
        <w:t xml:space="preserve">Особенности осуществления рассмотрения общих частей заявок.</w:t>
      </w:r>
      <w:bookmarkEnd w:id="9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общие части заявок участников на предмет их соответствия требованиям, установленны</w:t>
      </w:r>
      <w:r>
        <w:rPr>
          <w:rFonts w:ascii="Times New Roman" w:hAnsi="Times New Roman" w:cs="Times New Roman"/>
          <w:b w:val="0"/>
          <w:bCs w:val="0"/>
        </w:rPr>
        <w:t xml:space="preserve">м документацией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отклоняет заявку участника на этапе рассмотрения общих частей заявок по следующим основаниям: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457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t xml:space="preserve">в случае отсутствия в составе общей части заявки документов и сведений, предусмотренных для предоставления в общей части заявки, указанных в пункте </w:t>
      </w:r>
      <w:hyperlink w:tooltip="#_Сведения_и_документы," w:anchor="_Сведения_и" w:history="1">
        <w:r>
          <w:rPr>
            <w:rStyle w:val="1364"/>
          </w:rPr>
          <w:t xml:space="preserve">17 части II «ИНФОРМАЦИОННАЯ КАРТА ЗАКУПКИ»</w:t>
        </w:r>
      </w:hyperlink>
      <w:r>
        <w:t xml:space="preserve">;</w:t>
      </w:r>
      <w:r/>
    </w:p>
    <w:p>
      <w:pPr>
        <w:pStyle w:val="1457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t xml:space="preserve">несо</w:t>
      </w:r>
      <w:r>
        <w:t xml:space="preserve">ответствие участника закупки, в том числе несоответствие лиц (одного или нескольких), выступающих на стороне одного участника закупки, требованиям, установленным в пункте </w:t>
      </w:r>
      <w:hyperlink w:tooltip="#_1.4._Требо" w:anchor="_1.4._Требо" w:history="1">
        <w:r>
          <w:rPr>
            <w:rStyle w:val="1364"/>
          </w:rPr>
          <w:t xml:space="preserve">1.4 части I «ОБЩИЕ УСЛОВИЯ ПРОВЕДЕНИ</w:t>
        </w:r>
        <w:r>
          <w:rPr>
            <w:rStyle w:val="1364"/>
          </w:rPr>
          <w:t xml:space="preserve">Я ЗАКУПКИ»</w:t>
        </w:r>
      </w:hyperlink>
      <w:r>
        <w:t xml:space="preserve">;</w:t>
      </w:r>
      <w:r/>
    </w:p>
    <w:p>
      <w:pPr>
        <w:pStyle w:val="1457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t xml:space="preserve">несоответствие предлагаемой продукции и/или условий выполнения работ, исполнения договора требованиям, установленным в частях IV – V документации о закупке </w:t>
      </w:r>
      <w:r>
        <w:t xml:space="preserve">и пункта </w:t>
      </w:r>
      <w:hyperlink w:tooltip="#_Предмет_договора_с" w:anchor="_Предмет_договора_с" w:history="1">
        <w:r>
          <w:rPr>
            <w:rStyle w:val="1364"/>
          </w:rPr>
          <w:t xml:space="preserve">3 части II «ИН</w:t>
        </w:r>
        <w:r>
          <w:rPr>
            <w:rStyle w:val="1364"/>
          </w:rPr>
          <w:t xml:space="preserve">ФОРМАЦИОННАЯ КАРТА ЗАКУПКИ»</w:t>
        </w:r>
      </w:hyperlink>
      <w:r>
        <w:t xml:space="preserve">, </w:t>
      </w:r>
      <w:hyperlink w:tooltip="#_Место_поставки_товара/" w:anchor="_Место_поставки_товара/" w:history="1">
        <w:r>
          <w:rPr>
            <w:rStyle w:val="1364"/>
          </w:rPr>
          <w:t xml:space="preserve">4 части II «ИНФОРМАЦИОННАЯ КАРТА ЗАКУПКИ»</w:t>
        </w:r>
      </w:hyperlink>
      <w:r>
        <w:t xml:space="preserve">, </w:t>
      </w:r>
      <w:hyperlink w:tooltip="#_Сроки_поставки_товара/" w:anchor="_Сроки_поставки_товара/" w:history="1">
        <w:r>
          <w:rPr>
            <w:rStyle w:val="1364"/>
          </w:rPr>
          <w:t xml:space="preserve">5 части II «ИНФОРМАЦИОННАЯ КАРТА ЗАКУП</w:t>
        </w:r>
        <w:r>
          <w:rPr>
            <w:rStyle w:val="1364"/>
          </w:rPr>
          <w:t xml:space="preserve">КИ»</w:t>
        </w:r>
      </w:hyperlink>
      <w:r>
        <w:t xml:space="preserve">;</w:t>
      </w:r>
      <w:r/>
    </w:p>
    <w:p>
      <w:pPr>
        <w:pStyle w:val="1457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 предоставления Участником закупки обеспечения заявки либо предоставление обеспечения заявки не соответствующего требованиям настоящей документации (в случае если требование о предоставлении обеспечения заявки установлено в пункте </w:t>
      </w:r>
      <w:hyperlink w:tooltip="#_Размер_обеспечения_заявок" w:anchor="_Размер_обе" w:history="1">
        <w:r>
          <w:rPr>
            <w:rStyle w:val="1364"/>
          </w:rPr>
          <w:t xml:space="preserve">11 части II «ИНФОРМАЦИОННАЯ КАРТА ЗАКУПКИ»</w:t>
        </w:r>
      </w:hyperlink>
      <w:r>
        <w:rPr>
          <w:rStyle w:val="1364"/>
          <w:color w:val="000000" w:themeColor="text1"/>
          <w:u w:val="none"/>
        </w:rPr>
        <w:t xml:space="preserve">);</w:t>
      </w:r>
      <w:r/>
    </w:p>
    <w:p>
      <w:pPr>
        <w:pStyle w:val="1457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несоответствие заявки участника требованиям, установленным в Закупочной документации, в том числе требования к содержанию и оформлению заявки, не соо</w:t>
      </w:r>
      <w:r>
        <w:rPr>
          <w:bCs/>
        </w:rPr>
        <w:t xml:space="preserve">тветствия по сроку действия оферты;</w:t>
      </w:r>
      <w:r/>
    </w:p>
    <w:p>
      <w:pPr>
        <w:pStyle w:val="1457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t xml:space="preserve">наличие в составе заявки недостоверных сведений.</w:t>
      </w:r>
      <w:r/>
    </w:p>
    <w:p>
      <w:pPr>
        <w:pStyle w:val="114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1" w:name="_Toc33"/>
      <w:r>
        <w:rPr>
          <w:sz w:val="24"/>
          <w:szCs w:val="24"/>
        </w:rPr>
        <w:t xml:space="preserve">Особенности осуществления рассмотрения и сопоставления ценовых предложений участников закупки</w:t>
      </w:r>
      <w:bookmarkEnd w:id="9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ценовых предложений, дополнительных ценовых предложений осуществ</w:t>
      </w:r>
      <w:r>
        <w:rPr>
          <w:rFonts w:ascii="Times New Roman" w:hAnsi="Times New Roman" w:cs="Times New Roman"/>
          <w:b w:val="0"/>
          <w:bCs w:val="0"/>
        </w:rPr>
        <w:t xml:space="preserve">ляется Закупочной комиссией после направления оператором ЭТП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</w:t>
      </w:r>
      <w:r>
        <w:rPr>
          <w:rFonts w:ascii="Times New Roman" w:hAnsi="Times New Roman" w:cs="Times New Roman"/>
          <w:b w:val="0"/>
          <w:bCs w:val="0"/>
        </w:rPr>
        <w:t xml:space="preserve">дого участника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и сопоставление ценовых предложений осуществляется в порядке и в соответствии с требованиями, установленными в </w:t>
      </w:r>
      <w:hyperlink w:tooltip="#_Приложение_№_1" w:anchor="_Приложение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Приложении № 1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</w:t>
      </w:r>
      <w:r>
        <w:rPr>
          <w:rFonts w:ascii="Times New Roman" w:hAnsi="Times New Roman" w:cs="Times New Roman"/>
          <w:b w:val="0"/>
          <w:bCs w:val="0"/>
        </w:rPr>
        <w:t xml:space="preserve"> в том числе в части не превышения ценового предложения участника начальной (максимальной) цены договора/цены лота, не превышения единицы продукции (если такое требование установлено в документации о закупке).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</w:t>
      </w:r>
      <w:r>
        <w:rPr>
          <w:rFonts w:ascii="Times New Roman" w:hAnsi="Times New Roman" w:cs="Times New Roman"/>
          <w:b w:val="0"/>
          <w:bCs w:val="0"/>
        </w:rPr>
        <w:t xml:space="preserve"> на этапе рассмотрения ценовых предложений участников в случае, если </w:t>
      </w:r>
      <w:r>
        <w:rPr>
          <w:rFonts w:ascii="Times New Roman" w:hAnsi="Times New Roman"/>
          <w:b w:val="0"/>
        </w:rPr>
        <w:t xml:space="preserve">цена заявки участника превышает установленную </w:t>
      </w:r>
      <w:r>
        <w:rPr>
          <w:rFonts w:ascii="Times New Roman" w:hAnsi="Times New Roman" w:cs="Times New Roman"/>
          <w:b w:val="0"/>
          <w:bCs w:val="0"/>
        </w:rPr>
        <w:t xml:space="preserve">в</w:t>
      </w:r>
      <w:r>
        <w:rPr>
          <w:rFonts w:ascii="Times New Roman" w:hAnsi="Times New Roman" w:cs="Times New Roman"/>
          <w:b w:val="0"/>
        </w:rPr>
        <w:t xml:space="preserve"> </w:t>
      </w:r>
      <w:hyperlink w:tooltip="#_Сведения_и_документы," w:anchor="_Сведения_и_документы," w:history="1">
        <w:r>
          <w:t xml:space="preserve"> </w:t>
        </w:r>
        <w:r>
          <w:rPr>
            <w:rFonts w:ascii="Times New Roman" w:hAnsi="Times New Roman" w:cs="Times New Roman"/>
            <w:b w:val="0"/>
            <w:bCs w:val="0"/>
          </w:rPr>
          <w:t xml:space="preserve">пункте </w:t>
        </w:r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начальную (максима</w:t>
      </w:r>
      <w:r>
        <w:rPr>
          <w:rFonts w:ascii="Times New Roman" w:hAnsi="Times New Roman" w:cs="Times New Roman"/>
          <w:b w:val="0"/>
          <w:bCs w:val="0"/>
        </w:rPr>
        <w:t xml:space="preserve">льную) цену договора (цену лота), непредставления документов и сведений, в случае если предоставление таких документов и сведений предусмотрено для предоставления в составе ценового предложения и указано в</w:t>
      </w:r>
      <w:r>
        <w:rPr>
          <w:rFonts w:ascii="Times New Roman" w:hAnsi="Times New Roman" w:cs="Times New Roman"/>
          <w:b w:val="0"/>
        </w:rPr>
        <w:t xml:space="preserve"> </w:t>
      </w:r>
      <w:hyperlink w:tooltip="#_Сведения_и_документы," w:anchor="_Сведения_и_документы," w:history="1">
        <w:r>
          <w:t xml:space="preserve"> </w:t>
        </w:r>
        <w:r>
          <w:rPr>
            <w:rFonts w:ascii="Times New Roman" w:hAnsi="Times New Roman" w:cs="Times New Roman"/>
            <w:b w:val="0"/>
            <w:bCs w:val="0"/>
          </w:rPr>
          <w:t xml:space="preserve">пункте </w:t>
        </w:r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/>
          <w:b w:val="0"/>
        </w:rPr>
        <w:t xml:space="preserve">В случае несоответствия цены заявки, указанной на ЭТП и цены заявки отраженной в документах, определяющих коммерческое </w:t>
      </w:r>
      <w:r>
        <w:rPr>
          <w:rFonts w:ascii="Times New Roman" w:hAnsi="Times New Roman" w:cs="Times New Roman"/>
          <w:b w:val="0"/>
        </w:rPr>
        <w:t xml:space="preserve">предложение, к учету принимается цена, указанная на ЭТП.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4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2" w:name="_Toc34"/>
      <w:r>
        <w:rPr>
          <w:sz w:val="24"/>
          <w:szCs w:val="24"/>
        </w:rPr>
        <w:t xml:space="preserve">Переторж</w:t>
      </w:r>
      <w:r>
        <w:rPr>
          <w:sz w:val="24"/>
          <w:szCs w:val="24"/>
        </w:rPr>
        <w:t xml:space="preserve">ка</w:t>
      </w:r>
      <w:bookmarkEnd w:id="9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проведении закупки 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Переторжка проводится при усл</w:t>
      </w:r>
      <w:r>
        <w:rPr>
          <w:rFonts w:ascii="Times New Roman" w:hAnsi="Times New Roman" w:cs="Times New Roman"/>
          <w:b w:val="0"/>
        </w:rPr>
        <w:t xml:space="preserve">овии допуска к участию в закупке одного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В ходе переторжки участник закупки вправе подавать ценовые предложения</w:t>
      </w:r>
      <w:r>
        <w:rPr>
          <w:rFonts w:ascii="Times New Roman" w:hAnsi="Times New Roman" w:cs="Times New Roman"/>
          <w:b w:val="0"/>
        </w:rPr>
        <w:t xml:space="preserve">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</w:t>
      </w:r>
      <w:r>
        <w:rPr>
          <w:rFonts w:ascii="Times New Roman" w:hAnsi="Times New Roman" w:cs="Times New Roman"/>
          <w:b w:val="0"/>
        </w:rPr>
        <w:t xml:space="preserve">ей с ранее объявленными условиями.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</w:t>
      </w:r>
      <w:r>
        <w:rPr>
          <w:rFonts w:ascii="Times New Roman" w:hAnsi="Times New Roman" w:cs="Times New Roman"/>
          <w:b w:val="0"/>
        </w:rPr>
        <w:t xml:space="preserve">ие (в случае если предоставление документов, определяющих их коммерческое предложение, предусмотрен</w:t>
      </w:r>
      <w:r>
        <w:rPr>
          <w:rFonts w:ascii="Times New Roman" w:hAnsi="Times New Roman" w:cs="Times New Roman"/>
          <w:b w:val="0"/>
          <w:bCs w:val="0"/>
        </w:rPr>
        <w:t xml:space="preserve">о в  пункте </w:t>
      </w:r>
      <w:hyperlink w:tooltip="#_Сведения_и_документы," w:anchor="_Сведения_и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17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).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Изменение цены в сторону снижения не дол</w:t>
      </w:r>
      <w:r>
        <w:rPr>
          <w:rFonts w:ascii="Times New Roman" w:hAnsi="Times New Roman" w:cs="Times New Roman"/>
          <w:b w:val="0"/>
        </w:rPr>
        <w:t xml:space="preserve">жно повлечь за собой изменение иных условий заявки участника, кроме ценового.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hyperlink w:tooltip="#_Порядок,_дата_начала," w:anchor="_Порядок,_дата_начала," w:history="1">
        <w:r>
          <w:rPr>
            <w:rFonts w:ascii="Times New Roman" w:hAnsi="Times New Roman" w:cs="Times New Roman"/>
            <w:b w:val="0"/>
            <w:bCs w:val="0"/>
          </w:rPr>
          <w:t xml:space="preserve">в пункте </w:t>
        </w:r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Время проведения первой процедуры переторжки (время ожидания ценовых предложений) указывается Заказчиком в  пункте </w:t>
      </w:r>
      <w:hyperlink w:tooltip="#_Порядок,_д" w:anchor="_Порядок,_д" w:history="1">
        <w:r>
          <w:rPr>
            <w:rStyle w:val="1364"/>
            <w:rFonts w:ascii="Times New Roman" w:hAnsi="Times New Roman" w:cs="Times New Roman"/>
            <w:b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  <w:t xml:space="preserve"> Дата </w:t>
      </w:r>
      <w:r>
        <w:rPr>
          <w:rFonts w:ascii="Times New Roman" w:hAnsi="Times New Roman" w:cs="Times New Roman"/>
          <w:b w:val="0"/>
          <w:bCs w:val="0"/>
        </w:rPr>
        <w:t xml:space="preserve">и время проведения процедур переторжки (повторных переторжек) указывается на сайте электронной площадки, информация о чем доводится до сведения участников закупки средствами ЭТП.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</w:t>
      </w:r>
      <w:r>
        <w:rPr>
          <w:rFonts w:ascii="Times New Roman" w:hAnsi="Times New Roman" w:cs="Times New Roman"/>
          <w:b w:val="0"/>
          <w:bCs w:val="0"/>
        </w:rPr>
        <w:t xml:space="preserve">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3" w:name="_Toc35"/>
      <w:r>
        <w:rPr>
          <w:sz w:val="24"/>
          <w:szCs w:val="24"/>
        </w:rPr>
        <w:t xml:space="preserve">Подведение итогов</w:t>
      </w:r>
      <w:bookmarkEnd w:id="9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Подведение итогов закупки осуществляются Закупочной </w:t>
      </w:r>
      <w:r>
        <w:rPr>
          <w:rFonts w:ascii="Times New Roman" w:hAnsi="Times New Roman" w:cs="Times New Roman"/>
          <w:b w:val="0"/>
        </w:rPr>
        <w:t xml:space="preserve">комиссией в сроки, установленные </w:t>
      </w:r>
      <w:hyperlink w:tooltip="#_Порядок,_дата_начала," w:anchor="_Порядок,_дата_начала," w:history="1">
        <w:r>
          <w:rPr>
            <w:rFonts w:ascii="Times New Roman" w:hAnsi="Times New Roman" w:cs="Times New Roman"/>
            <w:b w:val="0"/>
          </w:rPr>
          <w:t xml:space="preserve">в  пункте </w:t>
        </w:r>
        <w:r>
          <w:rPr>
            <w:rStyle w:val="1364"/>
            <w:rFonts w:ascii="Times New Roman" w:hAnsi="Times New Roman" w:cs="Times New Roman"/>
            <w:b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рамках подведения итогов осуществляется оценка и сопоставление заявок участников, допущенных до у</w:t>
      </w:r>
      <w:r>
        <w:rPr>
          <w:rFonts w:ascii="Times New Roman" w:hAnsi="Times New Roman" w:cs="Times New Roman"/>
          <w:b w:val="0"/>
        </w:rPr>
        <w:t xml:space="preserve">частия в закупке по результатам рассмотрения заявок. </w:t>
      </w: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hyperlink w:tooltip="#_Приложение_№_1" w:anchor="_Приложение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Приложении № 1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Заказчиком, применяют</w:t>
      </w:r>
      <w:r>
        <w:rPr>
          <w:rFonts w:ascii="Times New Roman" w:hAnsi="Times New Roman" w:cs="Times New Roman"/>
          <w:b w:val="0"/>
          <w:bCs w:val="0"/>
        </w:rPr>
        <w:t xml:space="preserve">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соответствует тре</w:t>
      </w:r>
      <w:r>
        <w:rPr>
          <w:rFonts w:ascii="Times New Roman" w:hAnsi="Times New Roman" w:cs="Times New Roman"/>
          <w:b w:val="0"/>
          <w:bCs w:val="0"/>
        </w:rPr>
        <w:t xml:space="preserve">бованиям, установленным документацией о закупке, и заявка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>
        <w:rPr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случае е</w:t>
      </w:r>
      <w:r>
        <w:rPr>
          <w:rFonts w:ascii="Times New Roman" w:hAnsi="Times New Roman" w:cs="Times New Roman"/>
          <w:b w:val="0"/>
        </w:rPr>
        <w:t xml:space="preserve">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По результатам осуществления оценки и сопоставления заявок </w:t>
      </w:r>
      <w:r>
        <w:rPr>
          <w:rFonts w:ascii="Times New Roman" w:hAnsi="Times New Roman" w:cs="Times New Roman"/>
          <w:b w:val="0"/>
          <w:bCs w:val="0"/>
        </w:rPr>
        <w:t xml:space="preserve">составляется итоговый прото</w:t>
      </w:r>
      <w:r>
        <w:rPr>
          <w:rFonts w:ascii="Times New Roman" w:hAnsi="Times New Roman" w:cs="Times New Roman"/>
          <w:b w:val="0"/>
          <w:bCs w:val="0"/>
        </w:rPr>
        <w:t xml:space="preserve">кол</w:t>
      </w:r>
      <w:r>
        <w:rPr>
          <w:rFonts w:ascii="Times New Roman" w:hAnsi="Times New Roman" w:cs="Times New Roman"/>
          <w:b w:val="0"/>
        </w:rPr>
        <w:t xml:space="preserve">, </w:t>
      </w:r>
      <w:r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>
        <w:rPr>
          <w:rFonts w:ascii="Times New Roman" w:hAnsi="Times New Roman" w:cs="Times New Roman"/>
          <w:b w:val="0"/>
        </w:rPr>
        <w:t xml:space="preserve">результаты оценки заявок на участие в закупке с указанием итогового решения Закупочной комиссии о соответствии таких заявок требованиям доку</w:t>
      </w:r>
      <w:r>
        <w:rPr>
          <w:rFonts w:ascii="Times New Roman" w:hAnsi="Times New Roman" w:cs="Times New Roman"/>
          <w:b w:val="0"/>
        </w:rPr>
        <w:t xml:space="preserve">ментации о закупке, а также о присвоении таким заявкам значения по каждому из предусмотренных критериев оценки таких заявок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</w:t>
      </w:r>
      <w:r>
        <w:rPr>
          <w:rFonts w:ascii="Times New Roman" w:hAnsi="Times New Roman" w:cs="Times New Roman"/>
          <w:b w:val="0"/>
          <w:bCs w:val="0"/>
        </w:rPr>
        <w:t xml:space="preserve">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</w:t>
      </w:r>
      <w:r>
        <w:rPr>
          <w:rFonts w:ascii="Times New Roman" w:hAnsi="Times New Roman" w:cs="Times New Roman"/>
          <w:b w:val="0"/>
          <w:bCs w:val="0"/>
        </w:rPr>
        <w:t xml:space="preserve">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4" w:name="_Toc36"/>
      <w:r>
        <w:rPr>
          <w:sz w:val="24"/>
          <w:szCs w:val="24"/>
        </w:rPr>
        <w:t xml:space="preserve">Признание закупки несостоявшейся</w:t>
      </w:r>
      <w:bookmarkEnd w:id="9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</w:t>
      </w:r>
      <w:r>
        <w:rPr>
          <w:rFonts w:ascii="Times New Roman" w:hAnsi="Times New Roman" w:cs="Times New Roman"/>
          <w:b w:val="0"/>
          <w:bCs w:val="0"/>
        </w:rPr>
        <w:t xml:space="preserve">ем о закупке Заказчика.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5" w:name="_Toc37"/>
      <w:r>
        <w:rPr>
          <w:sz w:val="24"/>
          <w:szCs w:val="24"/>
        </w:rPr>
        <w:t xml:space="preserve">Рассмотрение жалоб и обращений участников закупки</w:t>
      </w:r>
      <w:bookmarkEnd w:id="9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>
        <w:t xml:space="preserve">В случае необходимости, после завершения процедуры закупк</w:t>
      </w:r>
      <w:r>
        <w:t xml:space="preserve">и участник вправе направить в адрес Заказчика, указанный в извещении о закупке и документации о закупке запрос о разъяснении причин отклонения заявки такого участника. Заказчик обязан ответить на такой запрос в срок не позднее 10 (десяти) рабочих дней с мо</w:t>
      </w:r>
      <w:r>
        <w:t xml:space="preserve">мента получения такого запроса.</w:t>
      </w:r>
      <w:r/>
    </w:p>
    <w:p>
      <w:r/>
      <w:r/>
    </w:p>
    <w:p>
      <w:pPr>
        <w:pStyle w:val="1144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96" w:name="Par110"/>
      <w:r/>
      <w:bookmarkStart w:id="97" w:name="Par144"/>
      <w:r/>
      <w:bookmarkStart w:id="98" w:name="_Toc38"/>
      <w:r/>
      <w:bookmarkEnd w:id="87"/>
      <w:r/>
      <w:bookmarkEnd w:id="96"/>
      <w:r/>
      <w:bookmarkEnd w:id="97"/>
      <w:r>
        <w:rPr>
          <w:sz w:val="24"/>
          <w:szCs w:val="24"/>
        </w:rPr>
        <w:t xml:space="preserve">ЗАКЛЮЧЕНИЕ, ИЗМЕНЕНИЕ И РАСТОРЖЕНИЕ ДОГОВОРА</w:t>
      </w:r>
      <w:bookmarkEnd w:id="9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9" w:name="_Обеспечения_исполнения_договора,"/>
      <w:r/>
      <w:bookmarkStart w:id="100" w:name="_Ref130891676"/>
      <w:r/>
      <w:bookmarkStart w:id="101" w:name="_Toc39"/>
      <w:r/>
      <w:bookmarkEnd w:id="99"/>
      <w:r>
        <w:rPr>
          <w:sz w:val="24"/>
          <w:szCs w:val="24"/>
        </w:rPr>
        <w:t xml:space="preserve">Срок и порядок заключения договора</w:t>
      </w:r>
      <w:bookmarkEnd w:id="100"/>
      <w:r/>
      <w:bookmarkEnd w:id="10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на условиях, которые предусмотрены проектом договора, документацией о закупке, извещением о закупке </w:t>
      </w:r>
      <w:r>
        <w:rPr>
          <w:rFonts w:ascii="Times New Roman" w:hAnsi="Times New Roman" w:cs="Times New Roman"/>
          <w:b w:val="0"/>
        </w:rPr>
        <w:t xml:space="preserve">и заявкой победителя такой закупки, с которым заключается договор с учетом результатов преддоговорных переговоров в случае их проведения</w:t>
      </w:r>
      <w:r>
        <w:rPr>
          <w:rFonts w:ascii="Times New Roman" w:hAnsi="Times New Roman" w:cs="Times New Roman"/>
          <w:b w:val="0"/>
          <w:bCs w:val="0"/>
        </w:rPr>
        <w:t xml:space="preserve">. По результатам закупки с участником может быть заключено также несколько договоров.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Если в соответствии с требованиями</w:t>
      </w:r>
      <w:r>
        <w:rPr>
          <w:rFonts w:ascii="Times New Roman" w:hAnsi="Times New Roman" w:cs="Times New Roman"/>
          <w:b w:val="0"/>
        </w:rPr>
        <w:t xml:space="preserve"> </w:t>
      </w:r>
      <w:hyperlink r:id="rId27" w:tooltip="https://www.consultant.ru/document/cons_doc_LAW_494318/92d969e26a4326c5d02fa79b8f9cf4994ee5633b/" w:history="1">
        <w:r>
          <w:rPr>
            <w:rStyle w:val="1364"/>
            <w:rFonts w:ascii="Times New Roman" w:hAnsi="Times New Roman" w:cs="Times New Roman"/>
            <w:b w:val="0"/>
          </w:rPr>
          <w:t xml:space="preserve">постановления Правительства РФ от 23.12.</w:t>
        </w:r>
        <w:r>
          <w:rPr>
            <w:rStyle w:val="1364"/>
            <w:rFonts w:ascii="Times New Roman" w:hAnsi="Times New Roman" w:cs="Times New Roman"/>
            <w:b w:val="0"/>
          </w:rPr>
          <w:t xml:space="preserve">2024 № 1875</w:t>
        </w:r>
      </w:hyperlink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в пункте </w:t>
      </w:r>
      <w:hyperlink w:tooltip="#_Информация" w:anchor="_Информация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12 части II «ИНФОРМАЦИОНОЙ КАРТЫ ЗАКУПКИ»</w:t>
        </w:r>
      </w:hyperlink>
      <w:r>
        <w:rPr>
          <w:rFonts w:ascii="Times New Roman" w:hAnsi="Times New Roman" w:cs="Times New Roman"/>
          <w:b w:val="0"/>
        </w:rPr>
        <w:t xml:space="preserve"> установлен запрет закупки работ, услуг, соответственно выполняемых, оказываемых иностранным лицом, то не допускается заключение договора на выпо</w:t>
      </w:r>
      <w:r>
        <w:rPr>
          <w:rFonts w:ascii="Times New Roman" w:hAnsi="Times New Roman" w:cs="Times New Roman"/>
          <w:b w:val="0"/>
        </w:rPr>
        <w:t xml:space="preserve">лнение такой работы, оказание такой услуги с подрядчиком (исполнителем), являющимся иностранным лицом.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Если в соответствии с требованиями </w:t>
      </w:r>
      <w:hyperlink r:id="rId28" w:tooltip="https://www.consultant.ru/document/cons_doc_LAW_494318/92d969e26a4326c5d02fa79b8f9cf4994ee5633b/" w:history="1">
        <w:r>
          <w:rPr>
            <w:rStyle w:val="1364"/>
            <w:rFonts w:ascii="Times New Roman" w:hAnsi="Times New Roman" w:cs="Times New Roman"/>
            <w:b w:val="0"/>
          </w:rPr>
          <w:t xml:space="preserve">постановления Правительства РФ от 23.12.2024 № 1875</w:t>
        </w:r>
      </w:hyperlink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в пункте </w:t>
      </w:r>
      <w:hyperlink w:tooltip="#_Информация" w:anchor="_Информация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12 части II «ИНФОРМАЦИОНОЙ КАРТЫ ЗАКУПКИ»</w:t>
        </w:r>
      </w:hyperlink>
      <w:r>
        <w:rPr>
          <w:rFonts w:ascii="Times New Roman" w:hAnsi="Times New Roman" w:cs="Times New Roman"/>
          <w:b w:val="0"/>
        </w:rPr>
        <w:t xml:space="preserve">  устано</w:t>
      </w:r>
      <w:r>
        <w:rPr>
          <w:rFonts w:ascii="Times New Roman" w:hAnsi="Times New Roman" w:cs="Times New Roman"/>
          <w:b w:val="0"/>
        </w:rPr>
        <w:t xml:space="preserve">влено ограничение закупки работ, услуг, соответственно выполняемых, оказываемых иностранным лицом, то не допускается заключение договора с участником закупки, являющимся иностранным лицом, если российским лицом поданы заявка на участие в закупке, окончател</w:t>
      </w:r>
      <w:r>
        <w:rPr>
          <w:rFonts w:ascii="Times New Roman" w:hAnsi="Times New Roman" w:cs="Times New Roman"/>
          <w:b w:val="0"/>
        </w:rPr>
        <w:t xml:space="preserve">ьное предложение, признанные по результатам их рассмотрения соответствующими требованиям Стандарта,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</w:t>
      </w:r>
      <w:r>
        <w:rPr>
          <w:rFonts w:ascii="Times New Roman" w:hAnsi="Times New Roman" w:cs="Times New Roman"/>
          <w:b w:val="0"/>
        </w:rPr>
        <w:t xml:space="preserve">нтной закупки).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об установлении такой возможности указывается в пункте </w:t>
      </w:r>
      <w:hyperlink w:tooltip="#_Право_зака" w:anchor="_Право_зака" w:history="1">
        <w:r>
          <w:rPr>
            <w:rStyle w:val="1364"/>
            <w:rFonts w:ascii="Times New Roman" w:hAnsi="Times New Roman" w:cs="Times New Roman"/>
            <w:b w:val="0"/>
          </w:rPr>
          <w:t xml:space="preserve">23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/>
          <w:b w:val="0"/>
        </w:rPr>
      </w:pPr>
      <w:r/>
      <w:bookmarkStart w:id="102" w:name="_6.1.5._Поб"/>
      <w:r/>
      <w:bookmarkStart w:id="103" w:name="_Победитель_закупки_(либо"/>
      <w:r/>
      <w:bookmarkEnd w:id="102"/>
      <w:r/>
      <w:bookmarkEnd w:id="103"/>
      <w:r>
        <w:rPr>
          <w:rFonts w:ascii="Times New Roman" w:hAnsi="Times New Roman" w:cs="Times New Roman"/>
          <w:b w:val="0"/>
        </w:rPr>
        <w:t xml:space="preserve">Победитель закупки (либо единственный участник, признанный соответствующим требованиям документации о закупке) обязан в течение 3 (трех) рабочих дней, с даты размещения итогового проток</w:t>
      </w:r>
      <w:r>
        <w:rPr>
          <w:rFonts w:ascii="Times New Roman" w:hAnsi="Times New Roman" w:cs="Times New Roman"/>
          <w:b w:val="0"/>
        </w:rPr>
        <w:t xml:space="preserve">ола в ЕИС,  направить по электронной почте лицу ответственному за заключение договора и указанному </w:t>
      </w:r>
      <w:r>
        <w:rPr>
          <w:rFonts w:ascii="Times New Roman" w:hAnsi="Times New Roman" w:cs="Times New Roman"/>
          <w:b w:val="0"/>
          <w:highlight w:val="white"/>
        </w:rPr>
        <w:t xml:space="preserve">в </w:t>
      </w:r>
      <w:r>
        <w:rPr>
          <w:rFonts w:ascii="Times New Roman" w:hAnsi="Times New Roman" w:cs="Times New Roman"/>
          <w:b w:val="0"/>
        </w:rPr>
        <w:t xml:space="preserve">пункте </w:t>
      </w:r>
      <w:hyperlink w:tooltip="#_Наименование,_место_нахождения," w:anchor="_Наименование,_место_нахождения," w:history="1">
        <w:r>
          <w:rPr>
            <w:rStyle w:val="1364"/>
            <w:rFonts w:ascii="Times New Roman" w:hAnsi="Times New Roman" w:cs="Times New Roman"/>
            <w:b w:val="0"/>
          </w:rPr>
          <w:t xml:space="preserve">2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, заполненные пр</w:t>
      </w:r>
      <w:r>
        <w:rPr>
          <w:rFonts w:ascii="Times New Roman" w:hAnsi="Times New Roman" w:cs="Times New Roman"/>
          <w:b w:val="0"/>
        </w:rPr>
        <w:t xml:space="preserve">иложения к договору, содержащие информацию о цене, а также сроках поставки товара, выполнения работ, оказания услуг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и заполненное </w:t>
      </w:r>
      <w:r>
        <w:rPr>
          <w:rFonts w:ascii="Times New Roman" w:hAnsi="Times New Roman" w:cs="Times New Roman"/>
        </w:rPr>
        <w:t xml:space="preserve">Приложение № 4</w:t>
      </w:r>
      <w:r>
        <w:rPr>
          <w:rFonts w:ascii="Times New Roman" w:hAnsi="Times New Roman" w:cs="Times New Roman"/>
          <w:b w:val="0"/>
        </w:rPr>
        <w:t xml:space="preserve"> к закупочной документации. При этом общая итоговая стоимость не должна превышать окончательную цену заявки Побе</w:t>
      </w:r>
      <w:r>
        <w:rPr>
          <w:rFonts w:ascii="Times New Roman" w:hAnsi="Times New Roman" w:cs="Times New Roman"/>
          <w:b w:val="0"/>
        </w:rPr>
        <w:t xml:space="preserve">дителя (либо единственного участника, признанного соответствующим требованиям документации о закупке, с которым планируется заключить договор), а сроки поставки товара, выполнения работ (оказания услуг) не должны противоречить предлагаемым срокам поставки </w:t>
      </w:r>
      <w:r>
        <w:rPr>
          <w:rFonts w:ascii="Times New Roman" w:hAnsi="Times New Roman" w:cs="Times New Roman"/>
          <w:b w:val="0"/>
        </w:rPr>
        <w:t xml:space="preserve">товара, выполнения работ, оказания услуг, указанным в заявке. Участник</w:t>
      </w:r>
      <w:r>
        <w:rPr>
          <w:rFonts w:ascii="Times New Roman" w:hAnsi="Times New Roman"/>
          <w:b w:val="0"/>
        </w:rPr>
        <w:t xml:space="preserve"> не в праве превышать единичные расценки, указанные в Приложении № 2 к части II «ИНФОРМАЦИОННАЯ КАРТА ЗАКУПКИ»</w:t>
      </w:r>
      <w:r>
        <w:rPr>
          <w:rStyle w:val="1364"/>
          <w:rFonts w:ascii="Times New Roman" w:hAnsi="Times New Roman"/>
          <w:b w:val="0"/>
          <w:u w:val="none"/>
        </w:rPr>
        <w:t xml:space="preserve">.</w: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если Победитель закупки (либо единственный участник, признанный с</w:t>
      </w:r>
      <w:r>
        <w:rPr>
          <w:rFonts w:ascii="Times New Roman" w:hAnsi="Times New Roman" w:cs="Times New Roman"/>
          <w:b w:val="0"/>
        </w:rPr>
        <w:t xml:space="preserve">оответствующим требованиям документации о закупке), не предоставит в течение 3 (трех) рабочих дней с даты размещения в ЕИС итогового протокола заполненные приложения к договору, содержащие информацию о цене, а также сроках поставки товара/выполнения работ/</w:t>
      </w:r>
      <w:r>
        <w:rPr>
          <w:rFonts w:ascii="Times New Roman" w:hAnsi="Times New Roman" w:cs="Times New Roman"/>
          <w:b w:val="0"/>
        </w:rPr>
        <w:t xml:space="preserve">оказании услуг, либо представит указанные сведения с нарушением условий, установленных в пункте </w:t>
      </w:r>
      <w:hyperlink w:tooltip="#_Победитель_закупки_(либо" w:anchor="_6.1.5._Поб" w:history="1">
        <w:r>
          <w:rPr>
            <w:rStyle w:val="1364"/>
            <w:rFonts w:ascii="Times New Roman" w:hAnsi="Times New Roman" w:cs="Times New Roman"/>
            <w:b w:val="0"/>
          </w:rPr>
          <w:t xml:space="preserve">6.1.5</w:t>
        </w:r>
      </w:hyperlink>
      <w:r>
        <w:rPr>
          <w:rFonts w:ascii="Times New Roman" w:hAnsi="Times New Roman" w:cs="Times New Roman"/>
          <w:b w:val="0"/>
        </w:rPr>
        <w:t xml:space="preserve">, указанные приложения будут </w:t>
      </w:r>
      <w:r>
        <w:rPr>
          <w:rFonts w:ascii="Times New Roman" w:hAnsi="Times New Roman" w:cs="Times New Roman"/>
          <w:b w:val="0"/>
        </w:rPr>
        <w:t xml:space="preserve">сформированы Заказчиком самостоятельно, а стоимость кажд</w:t>
      </w:r>
      <w:r>
        <w:rPr>
          <w:rFonts w:ascii="Times New Roman" w:hAnsi="Times New Roman" w:cs="Times New Roman"/>
          <w:b w:val="0"/>
        </w:rPr>
        <w:t xml:space="preserve">ой позиции будет рассчитана путём применения единого понижающего коэффициента к единичным расценкам, </w:t>
      </w:r>
      <w:r>
        <w:rPr>
          <w:rFonts w:ascii="Times New Roman" w:hAnsi="Times New Roman"/>
          <w:b w:val="0"/>
        </w:rPr>
        <w:t xml:space="preserve">указанные в </w:t>
      </w:r>
      <w:hyperlink w:tooltip="#_Приложение_1" w:anchor="_Приложение_1" w:history="1">
        <w:r>
          <w:rPr>
            <w:rStyle w:val="1364"/>
            <w:rFonts w:ascii="Times New Roman" w:hAnsi="Times New Roman"/>
            <w:b w:val="0"/>
          </w:rPr>
          <w:t xml:space="preserve">Приложении № 2 к части II «ИНФОРМАЦИОННАЯ КАРТА ЗАКУПКИ»</w:t>
        </w:r>
      </w:hyperlink>
      <w:r>
        <w:rPr>
          <w:rFonts w:ascii="Times New Roman" w:hAnsi="Times New Roman"/>
          <w:b w:val="0"/>
        </w:rPr>
        <w:t xml:space="preserve">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before="120"/>
        <w:tabs>
          <w:tab w:val="left" w:pos="459" w:leader="none"/>
        </w:tabs>
      </w:pPr>
      <w:r>
        <w:t xml:space="preserve">Понижающий коэффициент рассчитыв</w:t>
      </w:r>
      <w:r>
        <w:t xml:space="preserve">ается по формуле: </w:t>
      </w:r>
      <w:r/>
    </w:p>
    <w:p>
      <w:pPr>
        <w:jc w:val="center"/>
        <w:spacing w:before="120" w:after="120"/>
        <w:tabs>
          <w:tab w:val="left" w:pos="459" w:leader="none"/>
        </w:tabs>
      </w:pPr>
      <w:r>
        <w:rPr>
          <w:lang w:val="en-US"/>
        </w:rPr>
        <w:t xml:space="preserve">d</w:t>
      </w:r>
      <w:r>
        <w:t xml:space="preserve"> = </w:t>
      </w: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i</w:t>
      </w:r>
      <w:r>
        <w:t xml:space="preserve"> / </w:t>
      </w: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t xml:space="preserve">,</w:t>
      </w:r>
      <w:r/>
    </w:p>
    <w:p>
      <w:pPr>
        <w:pStyle w:val="1457"/>
        <w:ind w:left="0" w:firstLine="567"/>
      </w:pPr>
      <w:r>
        <w:t xml:space="preserve">где </w:t>
      </w:r>
      <w:r>
        <w:rPr>
          <w:lang w:val="en-US"/>
        </w:rPr>
        <w:t xml:space="preserve">d</w:t>
      </w:r>
      <w:r>
        <w:t xml:space="preserve"> – понижающий коэффициент;</w:t>
      </w:r>
      <w:r/>
    </w:p>
    <w:p>
      <w:pPr>
        <w:pStyle w:val="1457"/>
        <w:ind w:left="0" w:firstLine="567"/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i</w:t>
      </w:r>
      <w:r>
        <w:t xml:space="preserve"> – окончательная цена заявки Победителя закупки, без учета НДС</w:t>
      </w:r>
      <w:r>
        <w:rPr>
          <w:bCs/>
        </w:rPr>
        <w:t xml:space="preserve">;</w:t>
      </w:r>
      <w:r/>
    </w:p>
    <w:p>
      <w:pPr>
        <w:pStyle w:val="1457"/>
        <w:ind w:left="0" w:firstLine="567"/>
        <w:jc w:val="right"/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t xml:space="preserve"> </w:t>
      </w:r>
      <w:r>
        <w:rPr>
          <w:bCs/>
        </w:rPr>
        <w:t xml:space="preserve">– объявленная начальная (максимальная) цена договора (лота)</w:t>
      </w:r>
      <w:r>
        <w:t xml:space="preserve"> без учета НДС</w:t>
      </w:r>
      <w:r>
        <w:rPr>
          <w:bCs/>
        </w:rPr>
        <w:t xml:space="preserve">.</w:t>
      </w:r>
      <w:r/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протокола, в том числе посредством использования программно-аппаратных средств ЭТП. В случае необходимос</w:t>
      </w:r>
      <w:r>
        <w:rPr>
          <w:rFonts w:ascii="Times New Roman" w:hAnsi="Times New Roman" w:cs="Times New Roman"/>
          <w:b w:val="0"/>
        </w:rPr>
        <w:t xml:space="preserve">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</w:t>
      </w:r>
      <w:r>
        <w:rPr>
          <w:rFonts w:ascii="Times New Roman" w:hAnsi="Times New Roman" w:cs="Times New Roman"/>
          <w:b w:val="0"/>
        </w:rPr>
        <w:t xml:space="preserve"> электронной площадки договор должен быть заключен в сроки, установленные законодательством.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</w:t>
      </w:r>
      <w:r>
        <w:rPr>
          <w:rFonts w:ascii="Times New Roman" w:hAnsi="Times New Roman" w:cs="Times New Roman"/>
          <w:b w:val="0"/>
          <w:bCs w:val="0"/>
        </w:rPr>
        <w:t xml:space="preserve">ии документа) подписанный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Заказчика. Участник подписывает проект договора</w:t>
      </w:r>
      <w:r>
        <w:rPr>
          <w:rFonts w:ascii="Times New Roman" w:hAnsi="Times New Roman" w:cs="Times New Roman"/>
          <w:b w:val="0"/>
          <w:bCs w:val="0"/>
        </w:rPr>
        <w:t xml:space="preserve"> в течение 3 (трех) рабочих дней и направляет его Заказчику.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</w:t>
      </w:r>
      <w:r>
        <w:rPr>
          <w:rFonts w:ascii="Times New Roman" w:hAnsi="Times New Roman" w:cs="Times New Roman"/>
          <w:b w:val="0"/>
          <w:bCs w:val="0"/>
        </w:rPr>
        <w:t xml:space="preserve">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</w:t>
      </w:r>
      <w:r>
        <w:rPr>
          <w:rFonts w:ascii="Times New Roman" w:hAnsi="Times New Roman" w:cs="Times New Roman"/>
          <w:b w:val="0"/>
          <w:bCs w:val="0"/>
        </w:rPr>
        <w:t xml:space="preserve">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</w:t>
      </w:r>
      <w:r>
        <w:rPr>
          <w:rFonts w:ascii="Times New Roman" w:hAnsi="Times New Roman" w:cs="Times New Roman"/>
          <w:b w:val="0"/>
          <w:bCs w:val="0"/>
        </w:rPr>
        <w:t xml:space="preserve">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участником, обеспечивает подписание такого дог</w:t>
      </w:r>
      <w:r>
        <w:rPr>
          <w:rFonts w:ascii="Times New Roman" w:hAnsi="Times New Roman" w:cs="Times New Roman"/>
          <w:b w:val="0"/>
          <w:bCs w:val="0"/>
        </w:rPr>
        <w:t xml:space="preserve">овора в срок, не превышающий 20 (двадцати) дней с даты размещения в ЕИС итогового протокола по результатам закупки.</w:t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Условие о подсудности разрешения споров по договору, указанное в части </w:t>
      </w:r>
      <w:hyperlink w:tooltip="#_ФОРМА_15._Справка" w:anchor="_ФОРМА_15._Справка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IV «П</w:t>
        </w:r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РОЕКТ ДОГОВОРА»</w:t>
        </w:r>
      </w:hyperlink>
      <w:r>
        <w:rPr>
          <w:rFonts w:ascii="Times New Roman" w:hAnsi="Times New Roman" w:cs="Times New Roman"/>
          <w:b w:val="0"/>
          <w:bCs w:val="0"/>
        </w:rPr>
        <w:t xml:space="preserve"> настоящей документации является существенным условием и не части изменению при проведении преддоговорных переговоров (в случае их проведения). Направление протокола разногласий к договору об изменении подсудности разрешения споров по догово</w:t>
      </w:r>
      <w:r>
        <w:rPr>
          <w:rFonts w:ascii="Times New Roman" w:hAnsi="Times New Roman" w:cs="Times New Roman"/>
          <w:b w:val="0"/>
          <w:bCs w:val="0"/>
        </w:rPr>
        <w:t xml:space="preserve">ру будет рассматриваться Заказчиком как уклонение от заключения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04" w:name="_Toc40"/>
      <w:r>
        <w:rPr>
          <w:sz w:val="24"/>
          <w:szCs w:val="24"/>
        </w:rPr>
        <w:t xml:space="preserve">Обеспечения исполнения договора, порядок предоставления такого обеспечения, требования к такому обеспечению</w:t>
      </w:r>
      <w:bookmarkEnd w:id="10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установить в документации о закупке требование к обеспечен</w:t>
      </w:r>
      <w:r>
        <w:rPr>
          <w:rFonts w:ascii="Times New Roman" w:hAnsi="Times New Roman" w:cs="Times New Roman"/>
          <w:b w:val="0"/>
          <w:bCs w:val="0"/>
        </w:rPr>
        <w:t xml:space="preserve">ию исполнения договора.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hyperlink w:tooltip="#_Размер_обеспечения_исполнения" w:anchor="_Размер_обеспечения_исполнения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21 части </w:t>
        </w:r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Обеспечение исполнения договора может быть представлено в форме внесения денежных средств на счет Заказчика, указанный в пункте </w:t>
      </w:r>
      <w:hyperlink w:tooltip="#_Размер_обеспечения_исполнения" w:anchor="_Размер_обеспечения_исполнения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21 ча</w:t>
        </w:r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сти II </w:t>
        </w:r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в форме независимой гарантии, а для лиц, указанных в п.6.2.5 - в форме поручительства. Выбор способа обеспечения исполнения договора осуществляется участником закупки самостоятельно. Предоставление обеспечения иным, не</w:t>
      </w:r>
      <w:r>
        <w:rPr>
          <w:rFonts w:ascii="Times New Roman" w:hAnsi="Times New Roman" w:cs="Times New Roman"/>
          <w:b w:val="0"/>
          <w:bCs w:val="0"/>
        </w:rPr>
        <w:t xml:space="preserve">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вв части </w:t>
      </w:r>
      <w:hyperlink w:tooltip="#_ФОРМА_15._Справка" w:anchor="_ФОРМА_15._Справка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IV «ПРОЕКТ ДОГОВОРА»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Style w:val="1364"/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средства, внес</w:t>
      </w:r>
      <w:r>
        <w:rPr>
          <w:rFonts w:ascii="Times New Roman" w:hAnsi="Times New Roman" w:cs="Times New Roman"/>
          <w:b w:val="0"/>
          <w:bCs w:val="0"/>
        </w:rPr>
        <w:t xml:space="preserve">енные в качестве обеспечения исполнения договора возвращаются участнику в сроки, указанные в части </w:t>
      </w:r>
      <w:hyperlink w:tooltip="#_ФОРМА_15._Справка" w:anchor="_ФОРМА_15._Справка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IV «ПРОЕКТ ДОГОВОРА»</w:t>
        </w:r>
      </w:hyperlink>
      <w:r/>
      <w:hyperlink w:tooltip="#_ПРОЕКТ_ДОГОВОРА" w:anchor="_ПРОЕКТ_ДОГОВОРА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.</w:t>
        </w:r>
      </w:hyperlink>
      <w:r>
        <w:rPr>
          <w:rStyle w:val="1364"/>
          <w:rFonts w:ascii="Times New Roman" w:hAnsi="Times New Roman" w:cs="Times New Roman"/>
          <w:b w:val="0"/>
          <w:bCs w:val="0"/>
        </w:rPr>
      </w:r>
      <w:r>
        <w:rPr>
          <w:rStyle w:val="1364"/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если</w:t>
      </w:r>
      <w:r>
        <w:rPr>
          <w:rFonts w:ascii="Times New Roman" w:hAnsi="Times New Roman" w:cs="Times New Roman"/>
          <w:b w:val="0"/>
        </w:rPr>
        <w:t xml:space="preserve"> по результатам закупки договор заключается с организациями, в отношении которых иностранными государствами введены ограничительные меры, а также организациями, в отношении бенефициарных </w:t>
      </w:r>
      <w:r>
        <w:rPr>
          <w:rFonts w:ascii="Times New Roman" w:hAnsi="Times New Roman" w:cs="Times New Roman"/>
          <w:b w:val="0"/>
          <w:spacing w:val="-4"/>
        </w:rPr>
        <w:t xml:space="preserve">владельцев (если совокупная доля их прямого и (или) косвенного участи</w:t>
      </w:r>
      <w:r>
        <w:rPr>
          <w:rFonts w:ascii="Times New Roman" w:hAnsi="Times New Roman" w:cs="Times New Roman"/>
          <w:b w:val="0"/>
          <w:spacing w:val="-4"/>
        </w:rPr>
        <w:t xml:space="preserve">я в этой</w:t>
      </w:r>
      <w:r>
        <w:rPr>
          <w:rFonts w:ascii="Times New Roman" w:hAnsi="Times New Roman" w:cs="Times New Roman"/>
          <w:b w:val="0"/>
        </w:rPr>
        <w:t xml:space="preserve"> организации составляет не менее 25 процентов) которых иностранными государствами введены ограничительные меры, обеспечение исполнения договора может быть представлено в форме поручительства аффилированных с такими организациями – участниками закуп</w:t>
      </w:r>
      <w:r>
        <w:rPr>
          <w:rFonts w:ascii="Times New Roman" w:hAnsi="Times New Roman" w:cs="Times New Roman"/>
          <w:b w:val="0"/>
        </w:rPr>
        <w:t xml:space="preserve">ки лиц (далее – Аффилированные лица):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numPr>
          <w:ilvl w:val="0"/>
          <w:numId w:val="24"/>
        </w:numPr>
        <w:ind w:left="0" w:firstLine="567"/>
        <w:spacing w:after="0"/>
      </w:pPr>
      <w:r>
        <w:t xml:space="preserve">обладающих кредитным рейтингом не ниже категории «А» по национальной рейтинговой шкале для Российской Федерации кредитного рейтингового агентства Аналитическое Кредитное Рейтинговое Агентство (Акционерное общество) или</w:t>
      </w:r>
      <w:r>
        <w:t xml:space="preserve"> кредитного рейтингового агентства Акционерное общество «Рейтинговое Агентство «Эксперт РА»;</w:t>
      </w:r>
      <w:r/>
    </w:p>
    <w:p>
      <w:pPr>
        <w:numPr>
          <w:ilvl w:val="0"/>
          <w:numId w:val="24"/>
        </w:numPr>
        <w:ind w:left="0" w:firstLine="567"/>
        <w:spacing w:after="0"/>
      </w:pPr>
      <w:r>
        <w:t xml:space="preserve">представивших заказчику сведения, подтверждающих платежеспособность Аффилированного лица (ежегодную или квартальную бухгалтерскую (финансовую) отчетность на послед</w:t>
      </w:r>
      <w:r>
        <w:t xml:space="preserve">нюю отчетную дату) (в копиях с отметкой Федеральной налоговой службы, заверенных печатью организации и подписанных руководителем организации);</w:t>
      </w:r>
      <w:r/>
    </w:p>
    <w:p>
      <w:pPr>
        <w:numPr>
          <w:ilvl w:val="0"/>
          <w:numId w:val="24"/>
        </w:numPr>
        <w:ind w:left="0" w:firstLine="567"/>
        <w:spacing w:after="0"/>
      </w:pPr>
      <w:r>
        <w:t xml:space="preserve">принявших обязательство письменно извещать заказчика в течение 3 рабочих дней со дня наступления следующих событи</w:t>
      </w:r>
      <w:r>
        <w:t xml:space="preserve">й: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предъявление к Аффилированному лицу имущественных требований, превышающих 10 процентов балансовой стоимости активов Аффилированного лица со стороны третьих лиц;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возбуждение в отношении руководителя Аффилированного лица уголовного дела в соответствии с уголовно-процессуальным законодательством Российской Федерации;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изменение местонахождения, учредительных документов, органов управления Аффилированного лица, банковс</w:t>
      </w:r>
      <w:r>
        <w:t xml:space="preserve">ких реквизитов Аффилированного лица;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принятие решения о реорганизации или ликвидации Аффилированного лица;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принятие судом к производству заявления о признании Аффилированного лица несостоятельным (банкротом);</w:t>
      </w:r>
      <w:r/>
    </w:p>
    <w:p>
      <w:pPr>
        <w:numPr>
          <w:ilvl w:val="0"/>
          <w:numId w:val="24"/>
        </w:numPr>
        <w:ind w:left="0" w:firstLine="567"/>
        <w:spacing w:after="0"/>
        <w:rPr>
          <w:spacing w:val="-4"/>
        </w:rPr>
      </w:pPr>
      <w:r>
        <w:t xml:space="preserve">представивших заказчику </w:t>
      </w:r>
      <w:r>
        <w:rPr>
          <w:spacing w:val="-4"/>
        </w:rPr>
        <w:t xml:space="preserve">письма (оригинал), подт</w:t>
      </w:r>
      <w:r>
        <w:rPr>
          <w:spacing w:val="-4"/>
        </w:rPr>
        <w:t xml:space="preserve">верждающего, что в отношении контрагента участника закупки/бенефициарного владельца контрагента иностранными государствами введены ограничительные меры, а также содержащее сопроводительные документы, подтверждающие достоверность представленных в письме све</w:t>
      </w:r>
      <w:r>
        <w:rPr>
          <w:spacing w:val="-4"/>
        </w:rPr>
        <w:t xml:space="preserve">дений со ссылкой на источники информации (оригинал/копия, заверенная Аффилированным лицом);</w:t>
      </w:r>
      <w:r>
        <w:rPr>
          <w:spacing w:val="-4"/>
        </w:rPr>
      </w:r>
      <w:r>
        <w:rPr>
          <w:spacing w:val="-4"/>
        </w:rPr>
      </w:r>
    </w:p>
    <w:p>
      <w:pPr>
        <w:numPr>
          <w:ilvl w:val="0"/>
          <w:numId w:val="24"/>
        </w:numPr>
        <w:ind w:left="0" w:firstLine="567"/>
        <w:spacing w:after="0"/>
      </w:pPr>
      <w:r>
        <w:t xml:space="preserve"> представление документов, подтверждающих аффилированность лица с контрагентом, в отношении которого предоставляется поручительство (оригинал/ копия, заверенная Афф</w:t>
      </w:r>
      <w:r>
        <w:t xml:space="preserve">илированным лицом);</w:t>
      </w:r>
      <w:r/>
    </w:p>
    <w:p>
      <w:pPr>
        <w:numPr>
          <w:ilvl w:val="0"/>
          <w:numId w:val="24"/>
        </w:numPr>
        <w:ind w:left="0" w:firstLine="567"/>
        <w:spacing w:after="0"/>
        <w:rPr>
          <w:spacing w:val="-4"/>
        </w:rPr>
      </w:pPr>
      <w:r>
        <w:t xml:space="preserve">представление иных дополнительных документов либо сведений по запросу Общества при наступлении одного из событий, указанных в пункте 6.2.5 в).</w:t>
      </w:r>
      <w:r>
        <w:rPr>
          <w:spacing w:val="-4"/>
        </w:rPr>
      </w:r>
      <w:r>
        <w:rPr>
          <w:spacing w:val="-4"/>
        </w:rPr>
      </w:r>
    </w:p>
    <w:p>
      <w:pPr>
        <w:ind w:firstLine="567"/>
        <w:spacing w:after="0"/>
        <w:tabs>
          <w:tab w:val="left" w:pos="0" w:leader="none"/>
          <w:tab w:val="left" w:pos="845" w:leader="none"/>
        </w:tabs>
      </w:pPr>
      <w:r>
        <w:rPr>
          <w:spacing w:val="-4"/>
        </w:rPr>
        <w:t xml:space="preserve">При наступлении одного из </w:t>
      </w:r>
      <w:r>
        <w:t xml:space="preserve">событий, указанных в пункте 6.2.5 в), либо в случае несоответствия </w:t>
      </w:r>
      <w:r>
        <w:t xml:space="preserve">Аффилированного лица критериям, указанным в пункте 6.2.5, </w:t>
      </w:r>
      <w:r>
        <w:rPr>
          <w:spacing w:val="-4"/>
        </w:rPr>
        <w:t xml:space="preserve">а также в случае отказа Аффилированного лица от представления документов, предусмотренных п. </w:t>
      </w:r>
      <w:r>
        <w:t xml:space="preserve">6.2.5</w:t>
      </w:r>
      <w:r>
        <w:rPr>
          <w:spacing w:val="-4"/>
        </w:rPr>
        <w:t xml:space="preserve">, Заказчик вправе отказаться от принятия поручительства Аффилированного лица/требовать замены ранее </w:t>
      </w:r>
      <w:r>
        <w:rPr>
          <w:spacing w:val="-4"/>
        </w:rPr>
        <w:t xml:space="preserve">предоставленного поручительства Аффилированного лица на независимую гарантию, на поручительство иного Аффилированного лица, на иное обеспечение обязательств, предусмотренное условиями договора.</w:t>
      </w:r>
      <w:r/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spacing w:val="-4"/>
        </w:rPr>
      </w:pPr>
      <w:r>
        <w:rPr>
          <w:rFonts w:ascii="Times New Roman" w:hAnsi="Times New Roman" w:cs="Times New Roman"/>
          <w:b w:val="0"/>
          <w:spacing w:val="-4"/>
        </w:rPr>
        <w:t xml:space="preserve">В случае предоставления обеспечения исполнения договора в форм</w:t>
      </w:r>
      <w:r>
        <w:rPr>
          <w:rFonts w:ascii="Times New Roman" w:hAnsi="Times New Roman" w:cs="Times New Roman"/>
          <w:b w:val="0"/>
          <w:spacing w:val="-4"/>
        </w:rPr>
        <w:t xml:space="preserve">е поручительства, договор дополняется соответствующим разделом в ходе преддоговорных переговоров. </w:t>
      </w:r>
      <w:r>
        <w:rPr>
          <w:rFonts w:ascii="Times New Roman" w:hAnsi="Times New Roman" w:cs="Times New Roman"/>
          <w:b w:val="0"/>
          <w:spacing w:val="-4"/>
        </w:rPr>
      </w:r>
      <w:r>
        <w:rPr>
          <w:rFonts w:ascii="Times New Roman" w:hAnsi="Times New Roman" w:cs="Times New Roman"/>
          <w:b w:val="0"/>
          <w:spacing w:val="-4"/>
        </w:rPr>
      </w:r>
    </w:p>
    <w:p>
      <w:pPr>
        <w:pStyle w:val="1145"/>
        <w:numPr>
          <w:ilvl w:val="1"/>
          <w:numId w:val="1"/>
        </w:numPr>
        <w:ind w:left="0" w:firstLine="567"/>
        <w:jc w:val="both"/>
        <w:keepNext w:val="0"/>
        <w:spacing w:after="0"/>
        <w:rPr>
          <w:bCs w:val="0"/>
          <w:smallCaps/>
        </w:rPr>
      </w:pPr>
      <w:r/>
      <w:bookmarkStart w:id="105" w:name="_Требования_к_условиям"/>
      <w:r/>
      <w:bookmarkStart w:id="106" w:name="_Toc41"/>
      <w:r/>
      <w:bookmarkEnd w:id="105"/>
      <w:r>
        <w:rPr>
          <w:bCs w:val="0"/>
          <w:sz w:val="24"/>
          <w:szCs w:val="24"/>
        </w:rPr>
        <w:t xml:space="preserve">Требования к условиям независимой гарантии, выданной в качестве обеспечения исполнения договора</w:t>
      </w:r>
      <w:bookmarkEnd w:id="106"/>
      <w:r>
        <w:rPr>
          <w:bCs w:val="0"/>
          <w:smallCaps/>
        </w:rPr>
      </w:r>
      <w:r>
        <w:rPr>
          <w:bCs w:val="0"/>
          <w:smallCaps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выборе участником закупки способа обеспечения договора в </w:t>
      </w:r>
      <w:r>
        <w:rPr>
          <w:rFonts w:ascii="Times New Roman" w:hAnsi="Times New Roman" w:cs="Times New Roman"/>
          <w:b w:val="0"/>
          <w:bCs w:val="0"/>
        </w:rPr>
        <w:t xml:space="preserve">форме независимой гарантии участник должен предоставить независимую гарантию, составленную с учетом требований статей </w:t>
      </w:r>
      <w:hyperlink r:id="rId29" w:tooltip="https://www.consultant.ru/document/cons_doc_LAW_5142/03edc46b2ef855fddfaaa3d77dac1d071ef3dba1/" w:history="1">
        <w:r>
          <w:rPr>
            <w:rFonts w:ascii="Times New Roman" w:hAnsi="Times New Roman" w:cs="Times New Roman"/>
            <w:b w:val="0"/>
            <w:bCs w:val="0"/>
            <w:color w:val="0000ff"/>
            <w:u w:val="single"/>
          </w:rPr>
          <w:t xml:space="preserve">368</w:t>
        </w:r>
      </w:hyperlink>
      <w:r>
        <w:rPr>
          <w:rFonts w:ascii="Times New Roman" w:hAnsi="Times New Roman" w:cs="Times New Roman"/>
          <w:b w:val="0"/>
          <w:bCs w:val="0"/>
        </w:rPr>
        <w:t xml:space="preserve">-</w:t>
      </w:r>
      <w:hyperlink r:id="rId30" w:tooltip="https://www.consultant.ru/document/cons_doc_LAW_5142/e8b1dba1c6def4f632470a9857908caf60fec137/" w:history="1">
        <w:r>
          <w:rPr>
            <w:rFonts w:ascii="Times New Roman" w:hAnsi="Times New Roman" w:cs="Times New Roman"/>
            <w:b w:val="0"/>
            <w:bCs w:val="0"/>
            <w:color w:val="0000ff"/>
            <w:u w:val="single"/>
          </w:rPr>
          <w:t xml:space="preserve">379</w:t>
        </w:r>
      </w:hyperlink>
      <w:r>
        <w:rPr>
          <w:rFonts w:ascii="Times New Roman" w:hAnsi="Times New Roman" w:cs="Times New Roman"/>
          <w:b w:val="0"/>
          <w:bCs w:val="0"/>
        </w:rPr>
        <w:t xml:space="preserve"> Гражданского кодекса Российской Федерации и следующих условий: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numPr>
          <w:ilvl w:val="0"/>
          <w:numId w:val="26"/>
        </w:numPr>
        <w:ind w:left="0" w:firstLine="567"/>
        <w:spacing w:after="0"/>
      </w:pPr>
      <w:r>
        <w:rPr>
          <w:bCs/>
        </w:rPr>
        <w:t xml:space="preserve">независимая гарантия должна быть выдана гарантом, предусмотренным </w:t>
      </w:r>
      <w:hyperlink r:id="rId31" w:tooltip="https://www.consultant.ru/document/cons_doc_LAW_144624/af90cad46f4484d18fa490ef1c9d7a3b2fd3be3b/#dst2441" w:anchor="dst2441" w:history="1">
        <w:r>
          <w:rPr>
            <w:rStyle w:val="1364"/>
            <w:bCs/>
          </w:rPr>
          <w:t xml:space="preserve">частью 1 статьи 45 Федерального закона от 5 апреля 2013 года № 44-ФЗ «О контрактной системе в сфере закупок тов</w:t>
        </w:r>
        <w:r>
          <w:rPr>
            <w:rStyle w:val="1364"/>
            <w:bCs/>
          </w:rPr>
          <w:t xml:space="preserve">аров, работ, услуг для обеспечения государственных и муниципальных нужд»</w:t>
        </w:r>
      </w:hyperlink>
      <w:r>
        <w:rPr>
          <w:bCs/>
        </w:rPr>
        <w:t xml:space="preserve">;</w:t>
      </w:r>
      <w:r/>
    </w:p>
    <w:p>
      <w:pPr>
        <w:numPr>
          <w:ilvl w:val="0"/>
          <w:numId w:val="26"/>
        </w:numPr>
        <w:ind w:left="0" w:firstLine="567"/>
        <w:spacing w:after="0"/>
      </w:pPr>
      <w:r>
        <w:t xml:space="preserve">независимая гарантия должна быть безотзывной;</w:t>
      </w:r>
      <w:r/>
    </w:p>
    <w:p>
      <w:pPr>
        <w:numPr>
          <w:ilvl w:val="0"/>
          <w:numId w:val="26"/>
        </w:numPr>
        <w:ind w:left="0" w:firstLine="567"/>
        <w:spacing w:after="0"/>
      </w:pPr>
      <w:r>
        <w:t xml:space="preserve">срок действия независимой гарантии должен начинаться не позднее даты заключения договора (в случае заключения дополнительного соглашения</w:t>
      </w:r>
      <w:r>
        <w:t xml:space="preserve">, предусматривающего предоставление независимой гарантии впервые - не позднее даты заключения дополнительного соглашения) и заканчиваться не ранее чем через 60 </w:t>
      </w:r>
      <w:r>
        <w:rPr>
          <w:bCs/>
        </w:rPr>
        <w:t xml:space="preserve">календарных </w:t>
      </w:r>
      <w:r>
        <w:t xml:space="preserve">дней после планируемого срока исполнения контрагентом обязательств по договору;</w:t>
      </w:r>
      <w:r/>
    </w:p>
    <w:p>
      <w:pPr>
        <w:numPr>
          <w:ilvl w:val="0"/>
          <w:numId w:val="26"/>
        </w:numPr>
        <w:ind w:left="0" w:firstLine="567"/>
        <w:spacing w:after="0"/>
      </w:pPr>
      <w:r>
        <w:t xml:space="preserve">в не</w:t>
      </w:r>
      <w:r>
        <w:t xml:space="preserve">зависимой гарантии должно быть предусмотрена безусловная обязанность гаранта оплатить сумму независимой гарантии полностью или частично по письменному требованию бенефициара.</w:t>
      </w:r>
      <w:r/>
    </w:p>
    <w:p>
      <w:pPr>
        <w:numPr>
          <w:ilvl w:val="0"/>
          <w:numId w:val="26"/>
        </w:numPr>
        <w:ind w:left="0" w:firstLine="567"/>
        <w:spacing w:after="0"/>
      </w:pPr>
      <w:r>
        <w:t xml:space="preserve">независимая гарантия не должна предоставлять гаранту возможность требовать от бен</w:t>
      </w:r>
      <w:r>
        <w:t xml:space="preserve">ефициара для совершения платежа по независимой гарантии предоставления каких-либо документов за исключением:</w:t>
      </w:r>
      <w:r/>
    </w:p>
    <w:p>
      <w:pPr>
        <w:pStyle w:val="1457"/>
        <w:numPr>
          <w:ilvl w:val="0"/>
          <w:numId w:val="23"/>
        </w:numPr>
        <w:ind w:left="0" w:firstLine="567"/>
        <w:jc w:val="both"/>
        <w:tabs>
          <w:tab w:val="left" w:pos="1418" w:leader="none"/>
        </w:tabs>
      </w:pPr>
      <w:r>
        <w:t xml:space="preserve">надлежащим образом оформленного требования бенефициара;</w:t>
      </w:r>
      <w:r/>
    </w:p>
    <w:p>
      <w:pPr>
        <w:pStyle w:val="1457"/>
        <w:numPr>
          <w:ilvl w:val="0"/>
          <w:numId w:val="23"/>
        </w:numPr>
        <w:ind w:left="0" w:firstLine="567"/>
        <w:jc w:val="both"/>
        <w:tabs>
          <w:tab w:val="left" w:pos="1418" w:leader="none"/>
        </w:tabs>
      </w:pPr>
      <w:r>
        <w:t xml:space="preserve">документов, подтверждающих полномочия лица, подписавшего требование от имени бенефициара;</w:t>
      </w:r>
      <w:r/>
    </w:p>
    <w:p>
      <w:pPr>
        <w:pStyle w:val="1457"/>
        <w:numPr>
          <w:ilvl w:val="0"/>
          <w:numId w:val="23"/>
        </w:numPr>
        <w:ind w:left="0" w:firstLine="567"/>
        <w:jc w:val="both"/>
        <w:tabs>
          <w:tab w:val="left" w:pos="1418" w:leader="none"/>
        </w:tabs>
      </w:pPr>
      <w:r>
        <w:t xml:space="preserve">перечисленных в явном виде в тексте независимой гарантии информационных справок, для заверения которых достаточно подписи представителя бенефициара.</w:t>
      </w:r>
      <w:r/>
    </w:p>
    <w:p>
      <w:pPr>
        <w:numPr>
          <w:ilvl w:val="2"/>
          <w:numId w:val="1"/>
        </w:numPr>
        <w:ind w:left="0" w:firstLine="567"/>
        <w:spacing w:after="0"/>
        <w:widowControl w:val="off"/>
        <w:rPr>
          <w:bCs/>
        </w:rPr>
        <w:outlineLvl w:val="2"/>
      </w:pPr>
      <w:r>
        <w:rPr>
          <w:bCs/>
        </w:rPr>
        <w:t xml:space="preserve">Гарант, выдающий независимую гарантию, должен отвечать всем нижеследующим требованиям: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27"/>
        </w:numPr>
        <w:ind w:left="0" w:firstLine="567"/>
        <w:spacing w:after="0"/>
      </w:pPr>
      <w:r>
        <w:rPr>
          <w:rStyle w:val="1503"/>
        </w:rPr>
        <w:t xml:space="preserve">кредитная организаци</w:t>
      </w:r>
      <w:r>
        <w:rPr>
          <w:rStyle w:val="1503"/>
        </w:rPr>
        <w:t xml:space="preserve">я обладает действующей лицензией на банковскую деятельность, выданной Банком России</w:t>
      </w:r>
      <w:r>
        <w:rPr>
          <w:rStyle w:val="1503"/>
          <w:vertAlign w:val="superscript"/>
        </w:rPr>
        <w:footnoteReference w:customMarkFollows="1" w:id="10"/>
        <w:t xml:space="preserve">1</w:t>
      </w:r>
      <w:r>
        <w:rPr>
          <w:rStyle w:val="1503"/>
        </w:rPr>
        <w:t xml:space="preserve">, и в отношении данной кредитной организации отсутствуют какие-либо установленные в индивидуальном порядке Банком России ограничения на проведение отдельных операций</w:t>
      </w:r>
      <w:r>
        <w:rPr>
          <w:rStyle w:val="1503"/>
          <w:vertAlign w:val="superscript"/>
        </w:rPr>
        <w:footnoteReference w:customMarkFollows="1" w:id="11"/>
        <w:t xml:space="preserve">2</w:t>
      </w:r>
      <w:r>
        <w:t xml:space="preserve">;</w:t>
      </w:r>
      <w:r/>
    </w:p>
    <w:p>
      <w:pPr>
        <w:numPr>
          <w:ilvl w:val="0"/>
          <w:numId w:val="27"/>
        </w:numPr>
        <w:ind w:left="0" w:firstLine="567"/>
        <w:spacing w:after="0"/>
      </w:pPr>
      <w:r>
        <w:rPr>
          <w:rStyle w:val="1503"/>
        </w:rPr>
        <w:t xml:space="preserve">кред</w:t>
      </w:r>
      <w:r>
        <w:rPr>
          <w:rStyle w:val="1503"/>
        </w:rPr>
        <w:t xml:space="preserve">итная организация 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</w:t>
      </w:r>
      <w:r>
        <w:rPr>
          <w:rStyle w:val="1503"/>
        </w:rPr>
        <w:t xml:space="preserve">Фонда консолидации банковск</w:t>
      </w:r>
      <w:r>
        <w:rPr>
          <w:rStyle w:val="1503"/>
        </w:rPr>
        <w:t xml:space="preserve">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</w:t>
      </w:r>
      <w:r>
        <w:t xml:space="preserve">;</w:t>
      </w:r>
      <w:r/>
    </w:p>
    <w:p>
      <w:pPr>
        <w:numPr>
          <w:ilvl w:val="0"/>
          <w:numId w:val="27"/>
        </w:numPr>
        <w:ind w:left="0" w:firstLine="567"/>
        <w:spacing w:after="0"/>
      </w:pPr>
      <w:r>
        <w:t xml:space="preserve">кредитная организация не находится в процессе ликвидации или банкротства;</w:t>
      </w:r>
      <w:r/>
    </w:p>
    <w:p>
      <w:pPr>
        <w:numPr>
          <w:ilvl w:val="0"/>
          <w:numId w:val="27"/>
        </w:numPr>
        <w:ind w:left="0" w:firstLine="567"/>
        <w:spacing w:after="0"/>
      </w:pPr>
      <w:r>
        <w:t xml:space="preserve">кредитная организация входит </w:t>
      </w:r>
      <w:r>
        <w:t xml:space="preserve">в перечень кредитных организаций, соответствующих требованиям, установленным частями 1 - 1.2 и 1.5 статьи 2 Федерального закона от 21.07.2014 № 213-ФЗ, пунктом 8 и абзацами первым, вторым и пятым пункта 9 статьи 24.1 Федерального закона от 14.11.2002 № 161</w:t>
      </w:r>
      <w:r>
        <w:t xml:space="preserve">-ФЗ и постановлением Правительства Российской Федерации от 20.06.2018 № 706;</w:t>
      </w:r>
      <w:r>
        <w:rPr>
          <w:rFonts w:eastAsia="Arial Unicode MS" w:cs="Arial Unicode MS"/>
          <w:color w:val="000000"/>
          <w:sz w:val="28"/>
          <w:szCs w:val="28"/>
        </w:rPr>
        <w:t xml:space="preserve"> </w:t>
      </w:r>
      <w:r/>
    </w:p>
    <w:p>
      <w:pPr>
        <w:numPr>
          <w:ilvl w:val="0"/>
          <w:numId w:val="27"/>
        </w:numPr>
        <w:ind w:left="0" w:firstLine="567"/>
        <w:spacing w:after="0"/>
      </w:pPr>
      <w:r>
        <w:t xml:space="preserve"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</w:t>
      </w:r>
      <w:r>
        <w:t xml:space="preserve">дов</w:t>
      </w:r>
      <w:r>
        <w:rPr>
          <w:vertAlign w:val="superscript"/>
        </w:rPr>
        <w:footnoteReference w:customMarkFollows="1" w:id="12"/>
        <w:t xml:space="preserve">3.</w:t>
      </w:r>
      <w:r/>
    </w:p>
    <w:p>
      <w:pPr>
        <w:numPr>
          <w:ilvl w:val="0"/>
          <w:numId w:val="27"/>
        </w:numPr>
        <w:ind w:left="0" w:firstLine="567"/>
        <w:keepNext/>
        <w:spacing w:after="0"/>
      </w:pPr>
      <w:r>
        <w:rPr>
          <w:u w:val="single"/>
        </w:rPr>
        <w:t xml:space="preserve">Требования к банкам-гарантам для отдельных видов гарантий</w:t>
      </w:r>
      <w:r>
        <w:rPr>
          <w:u w:val="single"/>
          <w:vertAlign w:val="superscript"/>
        </w:rPr>
        <w:footnoteReference w:customMarkFollows="1" w:id="13"/>
        <w:t xml:space="preserve">4</w:t>
      </w:r>
      <w:r/>
    </w:p>
    <w:tbl>
      <w:tblPr>
        <w:tblW w:w="9354" w:type="dxa"/>
        <w:tblInd w:w="80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2"/>
        <w:gridCol w:w="2268"/>
        <w:gridCol w:w="1843"/>
        <w:gridCol w:w="1701"/>
      </w:tblGrid>
      <w:tr>
        <w:tblPrEx/>
        <w:trPr>
          <w:trHeight w:val="89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Критерии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  <w:vertAlign w:val="superscript"/>
              </w:rPr>
              <w:footnoteReference w:id="14"/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  <w:vertAlign w:val="superscript"/>
              </w:rPr>
              <w:t xml:space="preserve">5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Независимая гарантия обеспечения заявки участника закупочной процедуры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b/>
                <w:color w:val="000000"/>
                <w:sz w:val="20"/>
                <w:szCs w:val="20"/>
              </w:rPr>
              <w:t xml:space="preserve">Независимая гарантия на возврат авансовых платежей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b/>
                <w:color w:val="000000"/>
                <w:sz w:val="20"/>
                <w:szCs w:val="20"/>
              </w:rPr>
              <w:t xml:space="preserve">Независимая гарантия обеспечения гарантийных обязательств по договору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3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Размер собственного капитала банка</w:t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footnoteReference w:id="15"/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t xml:space="preserve">6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менее 10 млрд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менее 10 млрд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менее 10 млрд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52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Кредитная организация входит в перечень банков, соответствующих требованиям ст. 2 Федерального закона от 21.07.2014 № 213-ФЗ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79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Кредитная организация входит в перечень банков, отвечающих требованиям для принятия банковских гарантий в целях налогообложения (в соответствии со статьей 74.1 Налогового кодекса)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3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Наличие долгосрочного кредитного рейтинга (в соответствии с п. 6.3.2 ж)</w:t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применяется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Для независимых гарантий с суммой более 15 млн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Для независимых гарантий с суммой более 15 млн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</w:tbl>
    <w:p>
      <w:pPr>
        <w:spacing w:after="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p>
      <w:pPr>
        <w:numPr>
          <w:ilvl w:val="0"/>
          <w:numId w:val="27"/>
        </w:numPr>
        <w:ind w:left="0" w:firstLine="567"/>
        <w:spacing w:after="0"/>
        <w:rPr>
          <w:rFonts w:eastAsia="Arial Unicode MS" w:cs="Arial Unicode MS"/>
          <w:color w:val="000000"/>
        </w:rPr>
      </w:pPr>
      <w:r>
        <w:t xml:space="preserve">гарант имеет </w:t>
      </w:r>
      <w:r>
        <w:rPr>
          <w:rFonts w:eastAsia="Arial Unicode MS" w:cs="Arial Unicode MS"/>
          <w:color w:val="000000"/>
        </w:rPr>
        <w:t xml:space="preserve">долгосрочный кредитный рейтинг по национальной шкале, присвоенный аккредитованными Банком России рейтинговыми агентствами</w:t>
      </w:r>
      <w:r>
        <w:rPr>
          <w:rFonts w:eastAsia="Arial Unicode MS" w:cs="Arial Unicode MS"/>
          <w:color w:val="000000"/>
          <w:vertAlign w:val="superscript"/>
        </w:rPr>
        <w:footnoteReference w:customMarkFollows="1" w:id="16"/>
        <w:t xml:space="preserve">8</w:t>
      </w:r>
      <w:r>
        <w:rPr>
          <w:rFonts w:eastAsia="Arial Unicode MS" w:cs="Arial Unicode MS"/>
          <w:color w:val="000000"/>
        </w:rPr>
        <w:t xml:space="preserve">. При наличии у банка нескольких рейтингов учитывается наилучший. Требования к уровню рейтинга, приемлемого для принятия независимой г</w:t>
      </w:r>
      <w:r>
        <w:rPr>
          <w:rFonts w:eastAsia="Arial Unicode MS" w:cs="Arial Unicode MS"/>
          <w:color w:val="000000"/>
        </w:rPr>
        <w:t xml:space="preserve">арантии, приведены ниже в таблице</w:t>
      </w:r>
      <w:r>
        <w:rPr>
          <w:rFonts w:eastAsia="Arial Unicode MS" w:cs="Arial Unicode MS"/>
          <w:color w:val="000000"/>
          <w:vertAlign w:val="superscript"/>
        </w:rPr>
        <w:footnoteReference w:customMarkFollows="1" w:id="17"/>
        <w:t xml:space="preserve">9</w:t>
      </w:r>
      <w:r>
        <w:rPr>
          <w:rFonts w:eastAsia="Arial Unicode MS" w:cs="Arial Unicode MS"/>
          <w:color w:val="000000"/>
        </w:rPr>
        <w:t xml:space="preserve">.</w:t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p>
      <w:pPr>
        <w:ind w:left="567"/>
        <w:spacing w:after="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tbl>
      <w:tblPr>
        <w:tblW w:w="9460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4f81bd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2"/>
        <w:gridCol w:w="2409"/>
        <w:gridCol w:w="2250"/>
        <w:gridCol w:w="2339"/>
      </w:tblGrid>
      <w:tr>
        <w:tblPrEx/>
        <w:trPr>
          <w:jc w:val="center"/>
          <w:trHeight w:val="300"/>
          <w:tblHeader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6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АКРА (АО)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АО «Эксперт РА»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14" w:type="dxa"/>
              <w:top w:w="80" w:type="dxa"/>
              <w:right w:w="80" w:type="dxa"/>
              <w:bottom w:w="80" w:type="dxa"/>
            </w:tcMar>
            <w:tcW w:w="2250" w:type="dxa"/>
            <w:vAlign w:val="center"/>
            <w:textDirection w:val="lrTb"/>
            <w:noWrap w:val="false"/>
          </w:tcPr>
          <w:p>
            <w:pPr>
              <w:ind w:left="-548" w:hanging="105"/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ООО «НКР»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339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ООО «НРА»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6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</w:t>
            </w:r>
            <w:r>
              <w:rPr>
                <w:rFonts w:eastAsia="Arial Unicode MS" w:cs="Arial Unicode MS"/>
                <w:color w:val="000000"/>
                <w:lang w:val="en-US"/>
              </w:rPr>
              <w:t xml:space="preserve"> </w:t>
            </w:r>
            <w:r>
              <w:rPr>
                <w:rFonts w:eastAsia="Arial Unicode MS" w:cs="Arial Unicode MS"/>
                <w:color w:val="000000"/>
              </w:rPr>
              <w:t xml:space="preserve">BBB-(RU)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</w:t>
            </w:r>
            <w:r>
              <w:rPr>
                <w:rFonts w:eastAsia="Arial Unicode MS" w:cs="Arial Unicode MS"/>
                <w:color w:val="000000"/>
                <w:lang w:val="en-US"/>
              </w:rPr>
              <w:t xml:space="preserve"> </w:t>
            </w:r>
            <w:r>
              <w:rPr>
                <w:rFonts w:eastAsia="Arial Unicode MS" w:cs="Arial Unicode MS"/>
                <w:color w:val="000000"/>
              </w:rPr>
              <w:t xml:space="preserve">ruBBB-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 BBB-.ru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33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 BBB-|ru|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</w:tr>
    </w:tbl>
    <w:p>
      <w:pPr>
        <w:spacing w:after="0"/>
        <w:tabs>
          <w:tab w:val="num" w:pos="1418" w:leader="none"/>
        </w:tabs>
        <w:outlineLvl w:val="2"/>
      </w:pPr>
      <w:r/>
      <w:r/>
    </w:p>
    <w:p>
      <w:pPr>
        <w:numPr>
          <w:ilvl w:val="0"/>
          <w:numId w:val="27"/>
        </w:numPr>
        <w:ind w:left="0" w:firstLine="567"/>
        <w:spacing w:after="0"/>
        <w:rPr>
          <w:rFonts w:eastAsia="Arial Unicode MS" w:cs="Arial Unicode MS"/>
          <w:color w:val="000000"/>
        </w:rPr>
      </w:pPr>
      <w:r>
        <w:t xml:space="preserve">отсутствие у банка-гаранта в течение предшествующих 24 месяцев прецедентов просрочки исполнения платежных обязательств перед Заказчиком по независимым гарантиям, выданным принципалу, предоставляющему независимую гарантию</w:t>
      </w:r>
      <w:r>
        <w:rPr>
          <w:rFonts w:eastAsia="Arial Unicode MS" w:cs="Arial Unicode MS"/>
          <w:color w:val="000000"/>
        </w:rPr>
        <w:t xml:space="preserve">.</w:t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p>
      <w:pPr>
        <w:spacing w:after="0"/>
        <w:tabs>
          <w:tab w:val="num" w:pos="1418" w:leader="none"/>
        </w:tabs>
        <w:outlineLvl w:val="2"/>
      </w:pPr>
      <w:r/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outlineLvl w:val="2"/>
      </w:pPr>
      <w:r>
        <w:t xml:space="preserve">Лимит на общую сумму единовременн</w:t>
      </w:r>
      <w:r>
        <w:t xml:space="preserve">о действующих гарантий, принятых Обществом для каждого из банков, удовлетворяющих условиям п.п. 6.3.2 а) – е) закупочной документации, устанавливается в размере 10% от собственного капитала банка.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outlineLvl w:val="2"/>
      </w:pPr>
      <w:r>
        <w:t xml:space="preserve">В случае снижения рейтинга (ниже минимально допустимого в с</w:t>
      </w:r>
      <w:r>
        <w:t xml:space="preserve">оответствии с п. 6.3.2 ж) уровня) принятие новых гарантий банка приостанавливается.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outlineLvl w:val="2"/>
      </w:pPr>
      <w:r>
        <w:t xml:space="preserve">В случае снижения собственного капитала банка, приведшего к превышению объема фактически выбранных независимых гарантий над установленным лимитом, принятие новых гарантий б</w:t>
      </w:r>
      <w:r>
        <w:t xml:space="preserve">анка приостанавливается.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независимых гарантий данной кр</w:t>
      </w:r>
      <w:r>
        <w:rPr>
          <w:bCs/>
        </w:rPr>
        <w:t xml:space="preserve">едитной организации может быть приостановлен.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Вместе с гарантией победитель представляет следующие документы подтверждающие полномочия лица, подписавшего гарантию от имени гаранта: доверенность на уполномоченное лицо, действующее от имени гаранта (оригинал</w:t>
      </w:r>
      <w:r>
        <w:rPr>
          <w:bCs/>
        </w:rPr>
        <w:t xml:space="preserve">/нотариально заверенная копия/копия, заверенная гарантом) (в случае если независимая гарантия подписана уполномоченным лицом, действующим от имени гаранта на основании доверенности), а также решение (выписка из протокола) уполномоченного органа управления </w:t>
      </w:r>
      <w:r>
        <w:rPr>
          <w:bCs/>
        </w:rPr>
        <w:t xml:space="preserve">гаранта о назначении (избрании) единоличного исполнительного органа гаранта (копия, заверенная гарантом).  К доверенности, выданной в порядке передоверия, должна прилагаться доверенность на уполномоченное лицо, выдавшее доверенность в порядке передоверия (</w:t>
      </w:r>
      <w:r>
        <w:rPr>
          <w:bCs/>
        </w:rPr>
        <w:t xml:space="preserve">оригинал/нотариально заверенная копия/ копия, заверенная гарантом).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Возврат оригинала независимой гарантии поставщику (подрядчику, исполнителю) осуществляется по инициативе поставщика (подрядчиком, исполнитель) в следующих случаях: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20"/>
        </w:numPr>
        <w:ind w:left="0" w:firstLine="567"/>
        <w:spacing w:after="0"/>
      </w:pPr>
      <w:r>
        <w:t xml:space="preserve">если поставщиком (подрядчиком, исполнителем) исполнены обязательства, исполнение которых покрывала независимая гарантия и Заказчиком исполнены обязательства по оплате;</w:t>
      </w:r>
      <w:r/>
    </w:p>
    <w:p>
      <w:pPr>
        <w:numPr>
          <w:ilvl w:val="0"/>
          <w:numId w:val="20"/>
        </w:numPr>
        <w:ind w:left="0" w:firstLine="567"/>
        <w:spacing w:after="0"/>
      </w:pPr>
      <w:r>
        <w:t xml:space="preserve">при замене независимой гарантии;</w:t>
      </w:r>
      <w:r/>
    </w:p>
    <w:p>
      <w:pPr>
        <w:numPr>
          <w:ilvl w:val="0"/>
          <w:numId w:val="20"/>
        </w:numPr>
        <w:ind w:left="0" w:firstLine="567"/>
        <w:spacing w:after="0"/>
      </w:pPr>
      <w:r>
        <w:t xml:space="preserve">по истечении срока действия независимой гарантии;</w:t>
      </w:r>
      <w:r/>
    </w:p>
    <w:p>
      <w:pPr>
        <w:numPr>
          <w:ilvl w:val="0"/>
          <w:numId w:val="20"/>
        </w:numPr>
        <w:ind w:left="0" w:firstLine="567"/>
        <w:spacing w:after="0"/>
      </w:pPr>
      <w:r>
        <w:t xml:space="preserve">в ины</w:t>
      </w:r>
      <w:r>
        <w:t xml:space="preserve">х случаях, предусмотренных договором.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Возврат поставщику (подрядчику, исполнителю) независимых гарантий, по которым Заказчиком предъявлены требования об оплате, не производится.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Взыскание (предъявление требований) по независимой гарантии производится при н</w:t>
      </w:r>
      <w:r>
        <w:rPr>
          <w:bCs/>
        </w:rPr>
        <w:t xml:space="preserve">аступлении обстоятельств, предусмотренных независимой гарантией.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/>
          <w:bCs/>
        </w:rPr>
        <w:outlineLvl w:val="2"/>
      </w:pPr>
      <w:r>
        <w:t xml:space="preserve">Срок предоставления независимой гарантии, форма независимой гарантии, Акт приема-передачи независимой(ых) гарантии(й)/ изменений к независимой гарантии, иные требования, связанные с независим</w:t>
      </w:r>
      <w:r>
        <w:t xml:space="preserve">ой гарантией, установлены в</w:t>
      </w:r>
      <w:r>
        <w:rPr>
          <w:b/>
          <w:bCs/>
        </w:rPr>
        <w:t xml:space="preserve"> </w:t>
      </w:r>
      <w:r>
        <w:rPr>
          <w:bCs/>
        </w:rPr>
        <w:t xml:space="preserve">части </w:t>
      </w:r>
      <w:hyperlink w:tooltip="#_ФОРМА_15._Справка" w:anchor="_IV._ПРОЕКТ" w:history="1">
        <w:r>
          <w:rPr>
            <w:rStyle w:val="1364"/>
            <w:bCs/>
          </w:rPr>
          <w:t xml:space="preserve">IV «ПРОЕКТ ДОГОВОРА»</w:t>
        </w:r>
      </w:hyperlink>
      <w:r>
        <w:t xml:space="preserve"> и части </w:t>
      </w:r>
      <w:hyperlink w:tooltip="#_Типовые_формы_независимых" w:anchor="_VII._ТИПОВ" w:history="1">
        <w:r>
          <w:rPr>
            <w:rStyle w:val="1364"/>
          </w:rPr>
          <w:t xml:space="preserve">VII «ТИПОВЫЕ ФОРМЫ НЕЗАВИСИМЫХ ГАРАНТИЙ»</w:t>
        </w:r>
      </w:hyperlink>
      <w:r>
        <w:t xml:space="preserve">.</w:t>
      </w:r>
      <w:r>
        <w:rPr>
          <w:b/>
          <w:bCs/>
        </w:rPr>
      </w:r>
      <w:r>
        <w:rPr>
          <w:b/>
          <w:bCs/>
        </w:rPr>
      </w:r>
    </w:p>
    <w:p>
      <w:pPr>
        <w:pStyle w:val="1145"/>
        <w:numPr>
          <w:ilvl w:val="1"/>
          <w:numId w:val="1"/>
        </w:numPr>
        <w:ind w:left="0" w:firstLine="567"/>
        <w:jc w:val="both"/>
        <w:keepNext w:val="0"/>
        <w:spacing w:after="0"/>
        <w:rPr>
          <w:bCs w:val="0"/>
          <w:sz w:val="24"/>
          <w:szCs w:val="24"/>
        </w:rPr>
      </w:pPr>
      <w:r/>
      <w:bookmarkStart w:id="107" w:name="_Toc42"/>
      <w:r>
        <w:rPr>
          <w:bCs w:val="0"/>
          <w:sz w:val="24"/>
          <w:szCs w:val="24"/>
        </w:rPr>
        <w:t xml:space="preserve">Отказ от заключения договора</w:t>
      </w:r>
      <w:bookmarkEnd w:id="107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</w:t>
      </w:r>
      <w:r>
        <w:rPr>
          <w:rFonts w:ascii="Times New Roman" w:hAnsi="Times New Roman" w:cs="Times New Roman"/>
          <w:b w:val="0"/>
        </w:rPr>
        <w:t xml:space="preserve">казчик отказывается от заключения договора с победителем (единственным участником закупки, с которым планируется заключить договора) в любой момент до заключения договора, если Заказчик или Закупочная комиссия обнаружит, что участник закупки не соответству</w:t>
      </w:r>
      <w:r>
        <w:rPr>
          <w:rFonts w:ascii="Times New Roman" w:hAnsi="Times New Roman" w:cs="Times New Roman"/>
          <w:b w:val="0"/>
        </w:rPr>
        <w:t xml:space="preserve">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/>
      <w:bookmarkStart w:id="108" w:name="_Ref302129490"/>
      <w:r>
        <w:rPr>
          <w:rFonts w:ascii="Times New Roman" w:hAnsi="Times New Roman" w:cs="Times New Roman"/>
          <w:b w:val="0"/>
        </w:rPr>
        <w:t xml:space="preserve">Участник закупки, признанный победителем, утрачивает статус победителя, и его действия (бездей</w:t>
      </w:r>
      <w:r>
        <w:rPr>
          <w:rFonts w:ascii="Times New Roman" w:hAnsi="Times New Roman" w:cs="Times New Roman"/>
          <w:b w:val="0"/>
        </w:rPr>
        <w:t xml:space="preserve">ствия) означают отказ от заключения договора в следующих случаях:</w:t>
      </w:r>
      <w:bookmarkEnd w:id="108"/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480"/>
        <w:numPr>
          <w:ilvl w:val="0"/>
          <w:numId w:val="9"/>
        </w:numPr>
        <w:ind w:left="0" w:firstLine="567"/>
        <w:widowControl w:val="o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473"/>
        <w:numPr>
          <w:ilvl w:val="0"/>
          <w:numId w:val="9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 предоставл</w:t>
      </w:r>
      <w:r>
        <w:t xml:space="preserve">ения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</w:t>
      </w:r>
      <w:r>
        <w:t xml:space="preserve">олнения договора и срок его предоставления до заключения договора);</w:t>
      </w:r>
      <w:r>
        <w:rPr>
          <w:smallCaps/>
          <w:color w:val="auto"/>
        </w:rPr>
      </w:r>
      <w:r>
        <w:rPr>
          <w:smallCaps/>
          <w:color w:val="auto"/>
        </w:rPr>
      </w:r>
    </w:p>
    <w:p>
      <w:pPr>
        <w:pStyle w:val="1473"/>
        <w:numPr>
          <w:ilvl w:val="0"/>
          <w:numId w:val="9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 предоставления документа, подтверждающего решение об одобрении заключения крупной сделки либо сделки с заинтересованностью, в случае если победитель закупки (единственный участник соотв</w:t>
      </w:r>
      <w:r>
        <w:t xml:space="preserve">етствующий требованиям документации о закупке) не задекларировал в своей заявке (данная декларация содержится в письме о подаче оферты) отсутствие необходимости одобрения сделки как крупной или как сделки с заинтересованностью.</w:t>
      </w:r>
      <w:r>
        <w:rPr>
          <w:smallCaps/>
          <w:color w:val="auto"/>
        </w:rPr>
      </w:r>
      <w:r>
        <w:rPr>
          <w:smallCaps/>
          <w:color w:val="auto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если победитель зак</w:t>
      </w:r>
      <w:r>
        <w:rPr>
          <w:rFonts w:ascii="Times New Roman" w:hAnsi="Times New Roman" w:cs="Times New Roman"/>
          <w:b w:val="0"/>
        </w:rPr>
        <w:t xml:space="preserve">упки будет признан уклонившимся от заключения договора, договор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</w:t>
      </w:r>
      <w:r>
        <w:rPr>
          <w:rFonts w:ascii="Times New Roman" w:hAnsi="Times New Roman" w:cs="Times New Roman"/>
          <w:b w:val="0"/>
        </w:rPr>
        <w:t xml:space="preserve">говора, следующие после условий, предложенных победителем закупки.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4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09" w:name="_Toc43"/>
      <w:r>
        <w:rPr>
          <w:sz w:val="24"/>
          <w:szCs w:val="24"/>
        </w:rPr>
        <w:t xml:space="preserve">Изменение и расторжение договора</w:t>
      </w:r>
      <w:bookmarkEnd w:id="10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предусмотренном действующим законодательством и </w:t>
      </w:r>
      <w:hyperlink r:id="rId32" w:tooltip="https://zakupki.gov.ru/epz/orderclause/card/common-info.html?orderClauseInfoId=967865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Положением о закупке Заказчика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10" w:name="_Ref119429963"/>
      <w:r>
        <w:rPr>
          <w:rFonts w:ascii="Times New Roman" w:hAnsi="Times New Roman" w:cs="Times New Roman"/>
          <w:b w:val="0"/>
          <w:bCs w:val="0"/>
        </w:rPr>
        <w:t xml:space="preserve">При исполнении договора не допускае</w:t>
      </w:r>
      <w:r>
        <w:rPr>
          <w:rFonts w:ascii="Times New Roman" w:hAnsi="Times New Roman" w:cs="Times New Roman"/>
          <w:b w:val="0"/>
          <w:bCs w:val="0"/>
        </w:rPr>
        <w:t xml:space="preserve">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</w:t>
      </w:r>
      <w:r>
        <w:rPr>
          <w:rFonts w:ascii="Times New Roman" w:hAnsi="Times New Roman" w:cs="Times New Roman"/>
          <w:b w:val="0"/>
          <w:bCs w:val="0"/>
        </w:rPr>
        <w:t xml:space="preserve">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договоров</w:t>
      </w:r>
      <w:r>
        <w:rPr>
          <w:rFonts w:ascii="Times New Roman" w:hAnsi="Times New Roman" w:cs="Times New Roman"/>
          <w:b w:val="0"/>
          <w:bCs w:val="0"/>
        </w:rPr>
        <w:t xml:space="preserve"> на поставку товаров (выполнение работ, оказание услуг) заключенных с субъектами МСП, поставщик (исполнитель, подрядчик), при условии </w:t>
      </w:r>
      <w:r>
        <w:rPr>
          <w:rFonts w:ascii="Times New Roman" w:hAnsi="Times New Roman" w:cs="Times New Roman"/>
          <w:b w:val="0"/>
          <w:bCs w:val="0"/>
        </w:rPr>
        <w:t xml:space="preserve">исполнения обязательств по договору вправе переуступить право требования (факторинг) в пользу иного лица (финансового аген</w:t>
      </w:r>
      <w:r>
        <w:rPr>
          <w:rFonts w:ascii="Times New Roman" w:hAnsi="Times New Roman" w:cs="Times New Roman"/>
          <w:b w:val="0"/>
          <w:bCs w:val="0"/>
        </w:rPr>
        <w:t xml:space="preserve">та, фактора).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соответствии с </w:t>
      </w:r>
      <w:hyperlink r:id="rId33" w:tooltip="https://www.consultant.ru/document/cons_doc_LAW_494318/92d969e26a4326c5d02fa79b8f9cf4994ee5633b/" w:history="1">
        <w:r>
          <w:rPr>
            <w:rStyle w:val="1364"/>
            <w:rFonts w:ascii="Times New Roman" w:hAnsi="Times New Roman" w:cs="Times New Roman"/>
            <w:b w:val="0"/>
          </w:rPr>
          <w:t xml:space="preserve">поста</w:t>
        </w:r>
        <w:r>
          <w:rPr>
            <w:rStyle w:val="1364"/>
            <w:rFonts w:ascii="Times New Roman" w:hAnsi="Times New Roman" w:cs="Times New Roman"/>
            <w:b w:val="0"/>
          </w:rPr>
          <w:t xml:space="preserve">новлением Правительства РФ от 23.12.2024 № 1875</w:t>
        </w:r>
      </w:hyperlink>
      <w:r>
        <w:rPr>
          <w:rFonts w:ascii="Times New Roman" w:hAnsi="Times New Roman" w:cs="Times New Roman"/>
          <w:b w:val="0"/>
          <w:bCs w:val="0"/>
        </w:rPr>
        <w:t xml:space="preserve"> в пункте </w:t>
      </w:r>
      <w:hyperlink w:tooltip="#_Сведения_о_предоставлении" w:anchor="_Сведения_о_предоставлении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12 части II «ИНФОРМАЦИОННОЙ КАРТЫ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установлен запрет закупки работ, услуг, соответственно выполняемых, оказываем</w:t>
      </w:r>
      <w:r>
        <w:rPr>
          <w:rFonts w:ascii="Times New Roman" w:hAnsi="Times New Roman" w:cs="Times New Roman"/>
          <w:b w:val="0"/>
          <w:bCs w:val="0"/>
        </w:rPr>
        <w:t xml:space="preserve">ых иностранным лицом, то не допускается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</w:t>
      </w:r>
      <w:r>
        <w:rPr>
          <w:rFonts w:ascii="Times New Roman" w:hAnsi="Times New Roman" w:cs="Times New Roman"/>
          <w:b w:val="0"/>
          <w:bCs w:val="0"/>
        </w:rPr>
        <w:t xml:space="preserve">о государства, в отношении которого установлен данный запрет.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соответствии с </w:t>
      </w:r>
      <w:hyperlink r:id="rId34" w:tooltip="https://www.consultant.ru/document/cons_doc_LAW_494318/92d969e26a4326c5d02fa79b8f9cf4994ee5633b/" w:history="1">
        <w:r>
          <w:rPr>
            <w:rStyle w:val="1364"/>
            <w:rFonts w:ascii="Times New Roman" w:hAnsi="Times New Roman" w:cs="Times New Roman"/>
            <w:b w:val="0"/>
          </w:rPr>
          <w:t xml:space="preserve">постановлением Правительства РФ от 23.12.2024 № 1875</w:t>
        </w:r>
      </w:hyperlink>
      <w:r>
        <w:rPr>
          <w:rFonts w:ascii="Times New Roman" w:hAnsi="Times New Roman" w:cs="Times New Roman"/>
          <w:b w:val="0"/>
          <w:bCs w:val="0"/>
        </w:rPr>
        <w:t xml:space="preserve"> в пункте </w:t>
      </w:r>
      <w:hyperlink w:tooltip="#_Сведения_о_предоставлении" w:anchor="_Сведения_о_предоставлении" w:history="1">
        <w:r>
          <w:rPr>
            <w:rStyle w:val="1364"/>
            <w:rFonts w:ascii="Times New Roman" w:hAnsi="Times New Roman" w:cs="Times New Roman"/>
            <w:b w:val="0"/>
            <w:bCs w:val="0"/>
          </w:rPr>
          <w:t xml:space="preserve">12 части II «ИНФОРМАЦИОННОЙ КАРТЫ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установлено ограничение закуп</w:t>
      </w:r>
      <w:r>
        <w:rPr>
          <w:rFonts w:ascii="Times New Roman" w:hAnsi="Times New Roman" w:cs="Times New Roman"/>
          <w:b w:val="0"/>
          <w:bCs w:val="0"/>
        </w:rPr>
        <w:t xml:space="preserve">ки работ, услуг, соответственно выполняемых, оказываемых иностранным лицом, то не допускается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</w:t>
      </w:r>
      <w:r>
        <w:rPr>
          <w:rFonts w:ascii="Times New Roman" w:hAnsi="Times New Roman" w:cs="Times New Roman"/>
          <w:b w:val="0"/>
          <w:bCs w:val="0"/>
        </w:rPr>
        <w:t xml:space="preserve">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bookmarkEnd w:id="11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Расторжение договора, в том числе односторонний отказ от договора допускается по основаниям и в порядк</w:t>
      </w:r>
      <w:r>
        <w:rPr>
          <w:rFonts w:ascii="Times New Roman" w:hAnsi="Times New Roman" w:cs="Times New Roman"/>
          <w:b w:val="0"/>
          <w:bCs w:val="0"/>
        </w:rPr>
        <w:t xml:space="preserve">е, предусмотренном действующим законодательством и договором.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11" w:name="_Toc44"/>
      <w:r>
        <w:rPr>
          <w:sz w:val="24"/>
          <w:szCs w:val="24"/>
        </w:rPr>
        <w:t xml:space="preserve">Закупка продукции с разбиением заказа на лоты</w:t>
      </w:r>
      <w:bookmarkEnd w:id="11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может подать Заявку на любой лот (закупку), любые несколько лотов или все лоты по собственному выбору. Разбиение на лоты установлен</w:t>
      </w:r>
      <w:r>
        <w:rPr>
          <w:rFonts w:ascii="Times New Roman" w:hAnsi="Times New Roman" w:cs="Times New Roman"/>
          <w:b w:val="0"/>
        </w:rPr>
        <w:t xml:space="preserve">о пункте </w:t>
      </w:r>
      <w:hyperlink w:tooltip="#_Предмет_до" w:anchor="_Предмет_до" w:history="1">
        <w:r>
          <w:rPr>
            <w:rStyle w:val="1364"/>
            <w:rFonts w:ascii="Times New Roman" w:hAnsi="Times New Roman" w:cs="Times New Roman"/>
            <w:b w:val="0"/>
          </w:rPr>
          <w:t xml:space="preserve">3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 и части </w:t>
      </w:r>
      <w:hyperlink w:tooltip="#_V._ТЕХНИЧЕ" w:anchor="_V._ТЕХНИЧЕ" w:history="1">
        <w:r>
          <w:rPr>
            <w:rStyle w:val="1364"/>
            <w:rFonts w:ascii="Times New Roman" w:hAnsi="Times New Roman" w:cs="Times New Roman"/>
            <w:b w:val="0"/>
          </w:rPr>
          <w:t xml:space="preserve">IV «ТЕХНИЧЕСКАЯ ЧАСТЬ»</w:t>
        </w:r>
      </w:hyperlink>
      <w:r>
        <w:rPr>
          <w:rFonts w:ascii="Times New Roman" w:hAnsi="Times New Roman" w:cs="Times New Roman"/>
          <w:b w:val="0"/>
        </w:rPr>
        <w:t xml:space="preserve">. При этом не допускается разбиение отдельного лота на части, то есть подача </w:t>
      </w:r>
      <w:r>
        <w:rPr>
          <w:rFonts w:ascii="Times New Roman" w:hAnsi="Times New Roman" w:cs="Times New Roman"/>
          <w:b w:val="0"/>
        </w:rPr>
        <w:t xml:space="preserve">заявки на часть лота по отдельным его позициям или на часть объема лота.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подачи Заявки на несколько лотов, Участник должен отдельно по каждому лоту включить в состав заявки документы и сведения, указанные в пункте </w:t>
      </w:r>
      <w:hyperlink w:tooltip="#_Сведения_и" w:anchor="_Сведения_и" w:history="1">
        <w:r>
          <w:rPr>
            <w:rStyle w:val="1364"/>
            <w:rFonts w:ascii="Times New Roman" w:hAnsi="Times New Roman" w:cs="Times New Roman"/>
            <w:b w:val="0"/>
          </w:rPr>
          <w:t xml:space="preserve">17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46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</w:rPr>
        <w:t xml:space="preserve">Рассмотрение общих частей заявок и ценовых предложений, определение Победителя закупки и подписание Договора будет осуществляться раздельно и независимо по каждому из лотов. По каждому из лотов бу</w:t>
      </w:r>
      <w:r>
        <w:rPr>
          <w:rFonts w:ascii="Times New Roman" w:hAnsi="Times New Roman" w:cs="Times New Roman"/>
          <w:b w:val="0"/>
        </w:rPr>
        <w:t xml:space="preserve">дет определен Победитель закупки с каждым из которых будет заключен отдельный Договор.</w:t>
      </w:r>
      <w:r>
        <w:br w:type="page" w:clear="all"/>
      </w:r>
      <w:r/>
    </w:p>
    <w:p>
      <w:pPr>
        <w:pStyle w:val="1144"/>
        <w:numPr>
          <w:ilvl w:val="0"/>
          <w:numId w:val="4"/>
        </w:numPr>
        <w:ind w:left="0" w:firstLine="567"/>
        <w:spacing w:before="0" w:after="0"/>
        <w:rPr>
          <w:rStyle w:val="1315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/>
      <w:bookmarkStart w:id="112" w:name="_II._ИНФОРМ"/>
      <w:r/>
      <w:bookmarkStart w:id="113" w:name="_РАЗДЕЛ_I_3_ИНФОРМАЦИОННАЯ_КАРТА_КОН"/>
      <w:r/>
      <w:bookmarkStart w:id="114" w:name="_ИНФОРМАЦИОННАЯ_КАРТА_ЗАКУПКИ"/>
      <w:r/>
      <w:bookmarkStart w:id="115" w:name="_Ref119427269"/>
      <w:r/>
      <w:bookmarkStart w:id="116" w:name="_Toc45"/>
      <w:r/>
      <w:bookmarkEnd w:id="112"/>
      <w:r/>
      <w:bookmarkEnd w:id="113"/>
      <w:r/>
      <w:bookmarkEnd w:id="114"/>
      <w:r>
        <w:rPr>
          <w:rStyle w:val="1315"/>
          <w:rFonts w:ascii="Times New Roman" w:hAnsi="Times New Roman" w:cs="Times New Roman"/>
          <w:color w:val="auto"/>
          <w:sz w:val="28"/>
          <w:szCs w:val="28"/>
        </w:rPr>
        <w:t xml:space="preserve">ИНФОРМАЦИОННАЯ КАРТА </w:t>
      </w:r>
      <w:bookmarkEnd w:id="115"/>
      <w:r>
        <w:rPr>
          <w:rStyle w:val="1315"/>
          <w:rFonts w:ascii="Times New Roman" w:hAnsi="Times New Roman" w:cs="Times New Roman"/>
          <w:color w:val="auto"/>
          <w:sz w:val="28"/>
          <w:szCs w:val="28"/>
        </w:rPr>
        <w:t xml:space="preserve">ЗАКУПКИ</w:t>
      </w:r>
      <w:bookmarkEnd w:id="116"/>
      <w:r>
        <w:rPr>
          <w:rStyle w:val="1315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  <w:r>
        <w:rPr>
          <w:rStyle w:val="1315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</w:p>
    <w:p>
      <w:r/>
      <w:r/>
    </w:p>
    <w:p>
      <w:pPr>
        <w:ind w:firstLine="567"/>
      </w:pPr>
      <w:r>
        <w:t xml:space="preserve">В части II «ИНФОРМАЦИОННАЯ КАРТА ЗАКУПКИ» содержится информация для данной конкретной закупки, которая уточняет, разъясняет и дополня</w:t>
      </w:r>
      <w:r>
        <w:t xml:space="preserve">ет положения части </w:t>
      </w:r>
      <w:hyperlink w:tooltip="#_ОБЩИЕ_ПОЛОЖЕНИЯ" w:anchor="_ОБЩИЕ_ПОЛОЖЕНИЯ" w:history="1">
        <w:r>
          <w:rPr>
            <w:rStyle w:val="1364"/>
          </w:rPr>
          <w:t xml:space="preserve">«ОБЩИЕ УСЛОВИЯ ПРОВЕДЕНИЯ ЗАКУПКИ»</w:t>
        </w:r>
      </w:hyperlink>
      <w:r>
        <w:t xml:space="preserve">. </w:t>
      </w:r>
      <w:r/>
    </w:p>
    <w:p>
      <w:pPr>
        <w:ind w:firstLine="567"/>
        <w:tabs>
          <w:tab w:val="left" w:pos="567" w:leader="none"/>
        </w:tabs>
      </w:pPr>
      <w:r>
        <w:t xml:space="preserve">При возникновении противоречия между положениями части </w:t>
      </w:r>
      <w:hyperlink w:tooltip="#_ОБЩИЕ_УСЛОВИЯ_ПРОВЕДЕНИЯ" w:anchor="_I._ОБЩИЕ_У" w:history="1">
        <w:r>
          <w:rPr>
            <w:rStyle w:val="1364"/>
          </w:rPr>
          <w:t xml:space="preserve">I «ОБЩИЕ УСЛОВИЯ ПРОВЕД</w:t>
        </w:r>
        <w:r>
          <w:rPr>
            <w:rStyle w:val="1364"/>
          </w:rPr>
          <w:t xml:space="preserve">ЕНИЯ ЗАКУПКИ»</w:t>
        </w:r>
      </w:hyperlink>
      <w:r>
        <w:t xml:space="preserve"> и части </w:t>
      </w:r>
      <w:hyperlink w:tooltip="#_ИНФОРМАЦИОННАЯ_КАРТА_ЗАКУПКИ" w:anchor="_II._ИНФОРМ" w:history="1">
        <w:r>
          <w:rPr>
            <w:rStyle w:val="1364"/>
          </w:rPr>
          <w:t xml:space="preserve">II «ИНФОРМАЦИОННАЯ КАРТА ЗАКУПКИ»</w:t>
        </w:r>
      </w:hyperlink>
      <w:r>
        <w:t xml:space="preserve">, применяются положения Части II.</w:t>
      </w:r>
      <w:r/>
    </w:p>
    <w:tbl>
      <w:tblPr>
        <w:tblW w:w="9354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5135"/>
      </w:tblGrid>
      <w:tr>
        <w:tblPrEx/>
        <w:trPr/>
        <w:tc>
          <w:tcPr>
            <w:shd w:val="clear" w:color="auto" w:fill="f2f2f2" w:themeFill="background1" w:themeFillShade="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b/>
              </w:rPr>
            </w:pPr>
            <w:r>
              <w:rPr>
                <w:b/>
              </w:rPr>
              <w:t xml:space="preserve">№ п/п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vAlign w:val="center"/>
            <w:textDirection w:val="lrTb"/>
            <w:noWrap w:val="false"/>
          </w:tcPr>
          <w:p>
            <w:pPr>
              <w:ind w:hanging="13"/>
              <w:jc w:val="center"/>
              <w:spacing w:after="0"/>
              <w:tabs>
                <w:tab w:val="num" w:pos="630" w:leader="none"/>
              </w:tabs>
              <w:rPr>
                <w:b/>
              </w:rPr>
            </w:pPr>
            <w:r>
              <w:rPr>
                <w:b/>
              </w:rPr>
              <w:t xml:space="preserve">Наименование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b/>
              </w:rPr>
            </w:pPr>
            <w:r>
              <w:rPr>
                <w:b/>
              </w:rPr>
              <w:t xml:space="preserve">Информация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7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ind w:hanging="13"/>
              <w:spacing w:line="256" w:lineRule="auto"/>
              <w:tabs>
                <w:tab w:val="num" w:pos="205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Способ закупки, номер позиции Плана закупки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 w:line="256" w:lineRule="auto"/>
              <w:rPr>
                <w:lang w:eastAsia="en-US"/>
              </w:rPr>
            </w:pPr>
            <w:r/>
            <w:bookmarkStart w:id="117" w:name="Par50"/>
            <w:r>
              <w:rPr>
                <w:lang w:eastAsia="en-US"/>
              </w:rPr>
              <w:t xml:space="preserve">Конкурс в электронной форме.</w:t>
            </w:r>
            <w:bookmarkEnd w:id="117"/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after="0"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Номер позиции Плана закупки: 349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7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6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18" w:name="_Наименование,_место_нахождения,"/>
            <w:r/>
            <w:bookmarkEnd w:id="118"/>
            <w:r>
              <w:rPr>
                <w:rFonts w:ascii="Times New Roman" w:hAnsi="Times New Roman" w:cs="Times New Roman"/>
                <w:b w:val="0"/>
                <w:bCs w:val="0"/>
              </w:rPr>
              <w:t xml:space="preserve">Наименование, место нахождения, почтовый адрес, адрес электронной почты, номер контактного телефона Заказчика и стороннего Организатора закупки (в случае его привлечения), ответственный за заключение договора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Наименование Заказчика: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</w:pPr>
            <w:r>
              <w:t xml:space="preserve">АО «Россети Янтарь»</w:t>
            </w:r>
            <w:r/>
          </w:p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Ад</w:t>
            </w:r>
            <w:r>
              <w:rPr>
                <w:b/>
              </w:rPr>
              <w:t xml:space="preserve">рес местонахождения Заказчика: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</w:pPr>
            <w:r>
              <w:t xml:space="preserve">236022, г. Калининград, ул. Театральная, д. 34, кабинет 214</w:t>
            </w:r>
            <w:r/>
          </w:p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Почтовый адрес Заказчика: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</w:pPr>
            <w:r>
              <w:t xml:space="preserve">236035, Абонентский ящик № 5065</w:t>
            </w:r>
            <w:r/>
          </w:p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Контактное лицо: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ФИО </w:t>
            </w:r>
            <w:r>
              <w:rPr>
                <w:highlight w:val="white"/>
              </w:rPr>
              <w:t xml:space="preserve">Чеголя Алина Валерьевна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spacing w:after="0"/>
              <w:rPr>
                <w:b/>
                <w:highlight w:val="white"/>
                <w:lang w:val="en-US"/>
              </w:rPr>
            </w:pPr>
            <w:r>
              <w:rPr>
                <w:b/>
                <w:highlight w:val="white"/>
              </w:rPr>
              <w:t xml:space="preserve">Тел</w:t>
            </w:r>
            <w:r>
              <w:rPr>
                <w:b/>
                <w:highlight w:val="white"/>
                <w:lang w:val="en-US"/>
              </w:rPr>
              <w:t xml:space="preserve">: </w:t>
            </w:r>
            <w:r>
              <w:rPr>
                <w:highlight w:val="white"/>
                <w:lang w:val="en-US"/>
              </w:rPr>
              <w:t xml:space="preserve">8 (4012) 576-234</w:t>
            </w:r>
            <w:r>
              <w:rPr>
                <w:b/>
                <w:highlight w:val="white"/>
                <w:lang w:val="en-US"/>
              </w:rPr>
            </w:r>
            <w:r>
              <w:rPr>
                <w:b/>
                <w:highlight w:val="white"/>
                <w:lang w:val="en-US"/>
              </w:rPr>
            </w:r>
          </w:p>
          <w:p>
            <w:pPr>
              <w:spacing w:after="0"/>
              <w:rPr>
                <w:b/>
                <w:highlight w:val="white"/>
                <w:lang w:val="en-US"/>
              </w:rPr>
            </w:pPr>
            <w:r>
              <w:rPr>
                <w:b/>
                <w:highlight w:val="white"/>
                <w:lang w:val="en-US"/>
              </w:rPr>
              <w:t xml:space="preserve">e-mail: </w:t>
            </w:r>
            <w:hyperlink r:id="rId35" w:tooltip="http://Chegolya-AV@Rosseti-Yantar.ru" w:history="1">
              <w:r>
                <w:rPr>
                  <w:color w:val="0000ff"/>
                  <w:highlight w:val="white"/>
                  <w:u w:val="single"/>
                  <w:lang w:val="en-US"/>
                </w:rPr>
                <w:t xml:space="preserve">Chegolya-AV@Rosseti-Yantar.ru</w:t>
              </w:r>
            </w:hyperlink>
            <w:r>
              <w:rPr>
                <w:b/>
                <w:highlight w:val="white"/>
                <w:lang w:val="en-US"/>
              </w:rPr>
              <w:t xml:space="preserve"> </w:t>
            </w:r>
            <w:r>
              <w:rPr>
                <w:b/>
                <w:highlight w:val="white"/>
                <w:lang w:val="en-US"/>
              </w:rPr>
            </w:r>
            <w:r>
              <w:rPr>
                <w:b/>
                <w:highlight w:val="white"/>
                <w:lang w:val="en-US"/>
              </w:rPr>
            </w:r>
          </w:p>
          <w:p>
            <w:pPr>
              <w:spacing w:after="0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Ответственный за заключение договора: 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spacing w:after="0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ФИО</w:t>
            </w:r>
            <w:r>
              <w:rPr>
                <w:b/>
              </w:rPr>
              <w:t xml:space="preserve"> </w:t>
            </w:r>
            <w:r>
              <w:t xml:space="preserve">Арефьева Марина Александровна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spacing w:after="0"/>
              <w:rPr>
                <w:highlight w:val="white"/>
                <w:lang w:val="en-US"/>
              </w:rPr>
            </w:pPr>
            <w:r>
              <w:rPr>
                <w:b/>
                <w:highlight w:val="white"/>
              </w:rPr>
              <w:t xml:space="preserve">Тел</w:t>
            </w:r>
            <w:r>
              <w:rPr>
                <w:b/>
                <w:highlight w:val="white"/>
                <w:lang w:val="en-US"/>
              </w:rPr>
              <w:t xml:space="preserve">:</w:t>
            </w:r>
            <w:r>
              <w:rPr>
                <w:b/>
                <w:lang w:val="en-US"/>
              </w:rPr>
              <w:t xml:space="preserve"> </w:t>
            </w:r>
            <w:r>
              <w:rPr>
                <w:lang w:val="en-US"/>
              </w:rPr>
              <w:t xml:space="preserve">8 (4012) 570-702</w:t>
            </w:r>
            <w:r>
              <w:rPr>
                <w:highlight w:val="white"/>
                <w:lang w:val="en-US"/>
              </w:rPr>
            </w:r>
            <w:r>
              <w:rPr>
                <w:highlight w:val="white"/>
                <w:lang w:val="en-US"/>
              </w:rPr>
            </w:r>
          </w:p>
          <w:p>
            <w:pPr>
              <w:spacing w:after="0"/>
              <w:rPr>
                <w:b/>
                <w:lang w:val="en-US"/>
              </w:rPr>
            </w:pPr>
            <w:r>
              <w:rPr>
                <w:b/>
                <w:highlight w:val="white"/>
                <w:lang w:val="en-US"/>
              </w:rPr>
              <w:t xml:space="preserve">e-mail:</w:t>
            </w:r>
            <w:r>
              <w:rPr>
                <w:lang w:val="en-US"/>
              </w:rPr>
              <w:t xml:space="preserve"> </w:t>
            </w:r>
            <w:hyperlink r:id="rId36" w:tooltip="http://Arefeva-MA@Rosseti-Yantar.Ru" w:history="1">
              <w:r>
                <w:rPr>
                  <w:rStyle w:val="1364"/>
                  <w:lang w:val="en-US"/>
                </w:rPr>
                <w:t xml:space="preserve">Arefeva-MA@Rosseti-Yantar.Ru</w:t>
              </w:r>
            </w:hyperlink>
            <w:r>
              <w:rPr>
                <w:b/>
                <w:lang w:val="en-US"/>
              </w:rPr>
            </w:r>
            <w:r>
              <w:rPr>
                <w:b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7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</w:r>
            <w:r>
              <w:rPr>
                <w:b/>
                <w:lang w:val="en-US"/>
              </w:rPr>
            </w:r>
            <w:r>
              <w:rPr>
                <w:b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6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19" w:name="_Предмет_до"/>
            <w:r/>
            <w:bookmarkStart w:id="120" w:name="_Предмет_договора_с"/>
            <w:r/>
            <w:bookmarkEnd w:id="119"/>
            <w:r/>
            <w:bookmarkEnd w:id="120"/>
            <w:r>
              <w:rPr>
                <w:rFonts w:ascii="Times New Roman" w:hAnsi="Times New Roman" w:cs="Times New Roman"/>
                <w:b w:val="0"/>
                <w:bCs w:val="0"/>
              </w:rPr>
              <w:t xml:space="preserve">Предмет договора с указанием количества поставляемого товара/ объема выполняемой работы/ объема оказываемой услуги, а также краткое оп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исание предмета закупки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rPr>
                <w:highlight w:val="white"/>
              </w:rPr>
            </w:pPr>
            <w:r>
              <w:rPr>
                <w:b/>
              </w:rPr>
              <w:t xml:space="preserve">Предмет договора:</w:t>
            </w:r>
            <w:r>
              <w:rPr>
                <w:b/>
                <w:highlight w:val="white"/>
              </w:rPr>
              <w:t xml:space="preserve"> </w:t>
            </w:r>
            <w:r>
              <w:rPr>
                <w:highlight w:val="white"/>
                <w:lang w:eastAsia="en-US"/>
              </w:rPr>
              <w:t xml:space="preserve">Право заключения рамочного договора на выполнение работ, направленных на исполнение обязательств по объектам технологического присоединения к электрическим сетям АО «Россети Янтарь» (Лот № 1.1.17р).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r>
              <w:t xml:space="preserve">Количество пос</w:t>
            </w:r>
            <w:r>
              <w:t xml:space="preserve">тавляемого товара/объем выполняемой работы/объем оказываемой услуги и описание предмета закупки в соответствии с частью 6.1 статьи 3 Закона 223-ФЗ установлено в части </w:t>
            </w:r>
            <w:hyperlink w:tooltip="#_V._ТЕХНИЧЕ" w:anchor="_ТЕХНИЧЕСКАЯ_ЧАСТЬ" w:history="1">
              <w:r>
                <w:rPr>
                  <w:rStyle w:val="1364"/>
                </w:rPr>
                <w:t xml:space="preserve">V «ТЕХНИЧЕСКАЯ ЧАСТЬ»</w:t>
              </w:r>
            </w:hyperlink>
            <w:r>
              <w:t xml:space="preserve"> документаци</w:t>
            </w:r>
            <w:r>
              <w:t xml:space="preserve">и о закупке. Все указания в настоящей документации на товарные знаки, знаки обслуживания, фирменные наименования, патенты, полезные модели, промышленные образцы, наименование страны происхождения товара читать со словами «или эквивалент».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7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6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21" w:name="_Место_поставки_товара/"/>
            <w:r/>
            <w:bookmarkEnd w:id="121"/>
            <w:r>
              <w:rPr>
                <w:rFonts w:ascii="Times New Roman" w:hAnsi="Times New Roman" w:cs="Times New Roman"/>
                <w:b w:val="0"/>
                <w:bCs w:val="0"/>
              </w:rPr>
              <w:t xml:space="preserve">Место поставки 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товара/ выполнения работы/ оказания услуги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rPr>
                <w:highlight w:val="yellow"/>
              </w:rPr>
            </w:pPr>
            <w:r>
              <w:t xml:space="preserve">В соответствии с частью </w:t>
            </w:r>
            <w:hyperlink w:tooltip="#_IV._ПРОЕКТ" w:anchor="_IV._ПРОЕКТ" w:history="1">
              <w:r>
                <w:rPr>
                  <w:rStyle w:val="1364"/>
                </w:rPr>
                <w:t xml:space="preserve">IV «ПРОЕКТ ДОГОВОРА»</w:t>
              </w:r>
            </w:hyperlink>
            <w:r>
              <w:t xml:space="preserve"> и частью </w:t>
            </w:r>
            <w:hyperlink w:tooltip="#_V._ТЕХНИЧЕ" w:anchor="_V._ТЕХНИЧЕ" w:history="1">
              <w:r>
                <w:rPr>
                  <w:rStyle w:val="1364"/>
                </w:rPr>
                <w:t xml:space="preserve">V «ТЕХНИЧЕСКАЯ ЧАСТЬ»</w:t>
              </w:r>
            </w:hyperlink>
            <w:r>
              <w:t xml:space="preserve"> настоящей документации о закупке.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7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6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22" w:name="_Сроки_поставки_товара/"/>
            <w:r/>
            <w:bookmarkEnd w:id="122"/>
            <w:r>
              <w:rPr>
                <w:rFonts w:ascii="Times New Roman" w:hAnsi="Times New Roman" w:cs="Times New Roman"/>
                <w:b w:val="0"/>
                <w:bCs w:val="0"/>
              </w:rPr>
              <w:t xml:space="preserve">Сроки поставки товара/ выполнения работ/оказания услуг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</w:pPr>
            <w:r>
              <w:t xml:space="preserve">В соответствии с частью </w:t>
            </w:r>
            <w:hyperlink w:tooltip="#_IV._ПРОЕКТ" w:anchor="_IV._ПРОЕКТ" w:history="1">
              <w:r>
                <w:rPr>
                  <w:rStyle w:val="1364"/>
                </w:rPr>
                <w:t xml:space="preserve">IV «ПРОЕКТ ДОГОВОРА»</w:t>
              </w:r>
            </w:hyperlink>
            <w:r>
              <w:t xml:space="preserve"> и частью </w:t>
            </w:r>
            <w:hyperlink w:tooltip="#_V._ТЕХНИЧЕ" w:anchor="_V._ТЕХНИЧЕ" w:history="1">
              <w:r>
                <w:rPr>
                  <w:rStyle w:val="1364"/>
                </w:rPr>
                <w:t xml:space="preserve">V «ТЕХНИЧЕСКАЯ ЧАСТЬ»</w:t>
              </w:r>
            </w:hyperlink>
            <w:r>
              <w:t xml:space="preserve"> настоящей документации о за</w:t>
            </w:r>
            <w:r>
              <w:t xml:space="preserve">купке.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7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6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23" w:name="_Форма,_сроки_и"/>
            <w:r/>
            <w:bookmarkEnd w:id="123"/>
            <w:r>
              <w:rPr>
                <w:rFonts w:ascii="Times New Roman" w:hAnsi="Times New Roman" w:cs="Times New Roman"/>
                <w:b w:val="0"/>
                <w:bCs w:val="0"/>
              </w:rPr>
              <w:t xml:space="preserve">Форма, сроки и порядок оплаты товара, работы, услуги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r>
              <w:t xml:space="preserve">Форма, сроки и порядок оплаты товара, работы, услуги установлены в части </w:t>
            </w:r>
            <w:hyperlink w:tooltip="#_IV._ПРОЕКТ" w:anchor="_IV._ПРОЕКТ" w:history="1">
              <w:r>
                <w:rPr>
                  <w:rStyle w:val="1364"/>
                </w:rPr>
                <w:t xml:space="preserve">IV «ПРОЕКТ ДОГОВОРА»</w:t>
              </w:r>
            </w:hyperlink>
            <w:r>
              <w:t xml:space="preserve"> настоящей документации о закупке.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7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6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24" w:name="_Сведения_о"/>
            <w:r/>
            <w:bookmarkStart w:id="125" w:name="_Сведения_о_начальной"/>
            <w:r/>
            <w:bookmarkEnd w:id="124"/>
            <w:r/>
            <w:bookmarkEnd w:id="125"/>
            <w:r>
              <w:rPr>
                <w:rFonts w:ascii="Times New Roman" w:hAnsi="Times New Roman" w:cs="Times New Roman"/>
                <w:b w:val="0"/>
                <w:bCs w:val="0"/>
              </w:rPr>
              <w:t xml:space="preserve">Сведения о нача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льной (максимальной) цене договора (цене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товара, работы, услуги и максимальное значение цены договора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before="60"/>
              <w:tabs>
                <w:tab w:val="left" w:pos="708" w:leader="none"/>
              </w:tabs>
            </w:pPr>
            <w:r>
              <w:t xml:space="preserve">Обоснование начальной (максимальной) цены договора приведено в части </w:t>
            </w:r>
            <w:hyperlink w:tooltip="#_ОБОСНОВАНИЕ_НМЦ" w:anchor="_ОБОСНОВАНИЕ_НМЦ" w:history="1">
              <w:r>
                <w:rPr>
                  <w:rStyle w:val="1364"/>
                </w:rPr>
                <w:t xml:space="preserve">VI «ОБОСНОВАНИЕ НАЧАЛЬНОЙ (МАКСИМАЛЬНОЙ» ЦЕНЫ ДОГОВОРА»</w:t>
              </w:r>
            </w:hyperlink>
            <w:r>
              <w:t xml:space="preserve"> настоящей документации.</w:t>
            </w:r>
            <w:r/>
          </w:p>
          <w:p>
            <w:pPr>
              <w:spacing w:before="60"/>
              <w:tabs>
                <w:tab w:val="left" w:pos="708" w:leader="none"/>
              </w:tabs>
            </w:pPr>
            <w:r/>
            <w:r/>
          </w:p>
          <w:p>
            <w:pPr>
              <w:contextualSpacing/>
              <w:spacing w:before="120"/>
              <w:tabs>
                <w:tab w:val="left" w:pos="2977" w:leader="none"/>
                <w:tab w:val="left" w:pos="3544" w:leader="none"/>
              </w:tabs>
              <w:rPr>
                <w:lang w:eastAsia="ar-SA"/>
              </w:rPr>
            </w:pPr>
            <w:r>
              <w:rPr>
                <w:b/>
                <w:bCs/>
              </w:rPr>
              <w:t xml:space="preserve">Начальная (максимальная) цена договора (цена лота) составляет</w:t>
            </w:r>
            <w:r>
              <w:t xml:space="preserve">: 50 000 000 (Пятьдесят миллионов</w:t>
            </w:r>
            <w:r>
              <w:rPr>
                <w:bCs/>
                <w:lang w:eastAsia="ar-SA"/>
              </w:rPr>
              <w:t xml:space="preserve">) рублей 00 копеек (без учета НДС)</w:t>
            </w:r>
            <w:r>
              <w:rPr>
                <w:lang w:eastAsia="ar-SA"/>
              </w:rPr>
              <w:t xml:space="preserve">,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spacing w:after="0"/>
              <w:tabs>
                <w:tab w:val="left" w:pos="708" w:leader="none"/>
              </w:tabs>
              <w:rPr>
                <w:lang w:eastAsia="ar-SA"/>
              </w:rPr>
            </w:pPr>
            <w:r>
              <w:rPr>
                <w:bCs/>
                <w:lang w:eastAsia="ar-SA"/>
              </w:rPr>
              <w:t xml:space="preserve">кроме того, НДС размере 22% – 11 000 000 (Одиннадцать миллионов) рублей 00 копеек.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spacing w:after="0"/>
              <w:tabs>
                <w:tab w:val="left" w:pos="708" w:leader="none"/>
              </w:tabs>
            </w:pPr>
            <w:r>
              <w:rPr>
                <w:lang w:eastAsia="zh-CN"/>
              </w:rPr>
              <w:t xml:space="preserve">Начальная (максим</w:t>
            </w:r>
            <w:r>
              <w:rPr>
                <w:lang w:eastAsia="zh-CN"/>
              </w:rPr>
              <w:t xml:space="preserve">альная) цена договора (цена лота) с учетом НДС</w:t>
            </w:r>
            <w:r>
              <w:rPr>
                <w:bCs/>
                <w:lang w:eastAsia="ar-SA"/>
              </w:rPr>
              <w:t xml:space="preserve"> составляет 61 000 000 (Шестьдесят один миллион) рублей 00 копеек</w:t>
            </w:r>
            <w:r>
              <w:t xml:space="preserve">.</w:t>
            </w:r>
            <w:r/>
          </w:p>
          <w:p>
            <w:pPr>
              <w:spacing w:before="60" w:after="0"/>
              <w:tabs>
                <w:tab w:val="left" w:pos="708" w:leader="none"/>
              </w:tabs>
            </w:pPr>
            <w:r/>
            <w:r/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Предварительная цена работ, подлежащих выполнению по конкретной Заявке Заказчика, определяется на основании расчетов стоимости работ с примене</w:t>
            </w:r>
            <w:r>
              <w:rPr>
                <w:shd w:val="clear" w:color="auto" w:fill="ffffff" w:themeFill="background1"/>
              </w:rPr>
              <w:t xml:space="preserve">нием </w:t>
            </w:r>
            <w:r>
              <w:rPr>
                <w:b/>
                <w:shd w:val="clear" w:color="auto" w:fill="ffffff" w:themeFill="background1"/>
              </w:rPr>
              <w:t xml:space="preserve">коэффициента тендерного снижения</w:t>
            </w:r>
            <w:r>
              <w:rPr>
                <w:shd w:val="clear" w:color="auto" w:fill="ffffff" w:themeFill="background1"/>
              </w:rPr>
              <w:t xml:space="preserve"> к стоимости. </w:t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tabs>
                <w:tab w:val="left" w:pos="708" w:leader="none"/>
              </w:tabs>
            </w:pPr>
            <w:r/>
            <w:r/>
          </w:p>
          <w:p>
            <w:pPr>
              <w:spacing w:after="0"/>
              <w:tabs>
                <w:tab w:val="left" w:pos="708" w:leader="none"/>
              </w:tabs>
              <w:rPr>
                <w:b/>
                <w:bCs/>
                <w:color w:val="ff0000"/>
                <w:u w:val="single"/>
                <w:lang w:eastAsia="ar-SA"/>
              </w:rPr>
            </w:pPr>
            <w:r>
              <w:rPr>
                <w:b/>
                <w:bCs/>
                <w:color w:val="ff0000"/>
                <w:u w:val="single"/>
              </w:rPr>
              <w:t xml:space="preserve">При </w:t>
            </w:r>
            <w:r>
              <w:rPr>
                <w:b/>
                <w:color w:val="ff0000"/>
                <w:u w:val="single"/>
              </w:rPr>
              <w:t xml:space="preserve">подаче заявок предложение о цене договора должно соответствовать начальной (максимальной) цене рамочного договора. Заявки оцениваются исходя из коэффициента тендерного снижения, в соответствии с Прил</w:t>
            </w:r>
            <w:r>
              <w:rPr>
                <w:b/>
                <w:color w:val="ff0000"/>
                <w:u w:val="single"/>
              </w:rPr>
              <w:t xml:space="preserve">ожением 1 части II «ИНФОРМАЦИОННАЯ КАРТА ЗАКУПКИ» Документации о закупке.</w:t>
            </w:r>
            <w:r>
              <w:rPr>
                <w:b/>
                <w:bCs/>
                <w:color w:val="ff0000"/>
                <w:u w:val="single"/>
                <w:lang w:eastAsia="ar-SA"/>
              </w:rPr>
            </w:r>
            <w:r>
              <w:rPr>
                <w:b/>
                <w:bCs/>
                <w:color w:val="ff0000"/>
                <w:u w:val="single"/>
                <w:lang w:eastAsia="ar-SA"/>
              </w:rPr>
            </w:r>
          </w:p>
          <w:p>
            <w:pPr>
              <w:spacing w:after="0"/>
            </w:pPr>
            <w:r/>
            <w:r/>
          </w:p>
          <w:p>
            <w:pPr>
              <w:spacing w:after="0"/>
              <w:rPr>
                <w:b/>
                <w:color w:val="0000cc"/>
              </w:rPr>
            </w:pPr>
            <w:r>
              <w:rPr>
                <w:b/>
                <w:iCs/>
                <w:color w:val="0000cc"/>
              </w:rPr>
              <w:t xml:space="preserve">Участники на ЭТП указывают предложение о коэффициенте тендерного снижения («Предложение о коэффициенте понижения цены») </w:t>
            </w:r>
            <w:r>
              <w:rPr>
                <w:b/>
                <w:color w:val="0000cc"/>
              </w:rPr>
              <w:t xml:space="preserve">выраженный в виде десятичной дроби</w:t>
            </w:r>
            <w:r>
              <w:rPr>
                <w:b/>
                <w:iCs/>
                <w:color w:val="0000cc"/>
              </w:rPr>
              <w:t xml:space="preserve"> </w:t>
            </w:r>
            <w:r>
              <w:rPr>
                <w:b/>
                <w:color w:val="0000cc"/>
              </w:rPr>
              <w:t xml:space="preserve">от 0 до 1 с порядком: 0,0000. </w:t>
            </w:r>
            <w:r>
              <w:rPr>
                <w:b/>
                <w:color w:val="0000cc"/>
              </w:rPr>
            </w:r>
            <w:r>
              <w:rPr>
                <w:b/>
                <w:color w:val="0000cc"/>
              </w:rPr>
            </w:r>
          </w:p>
          <w:p>
            <w:pPr>
              <w:spacing w:after="0"/>
            </w:pPr>
            <w:r>
              <w:rPr>
                <w:b/>
                <w:color w:val="0000cc"/>
              </w:rPr>
              <w:t xml:space="preserve">При вводе понижающего коэффициента, участнику подсвечивается коэффициент снижения.</w:t>
            </w:r>
            <w:r/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Окончательная цена работ определяется утвержденной Заказчиком по каждой Заявке сметной документацией в соответствии с видом и объемом работ, </w:t>
            </w:r>
            <w:r>
              <w:rPr>
                <w:shd w:val="clear" w:color="auto" w:fill="ffffff" w:themeFill="background1"/>
              </w:rPr>
              <w:t xml:space="preserve">но не более цены Заявки, </w:t>
            </w:r>
            <w:r>
              <w:rPr>
                <w:shd w:val="clear" w:color="auto" w:fill="ffffff" w:themeFill="background1"/>
              </w:rPr>
              <w:t xml:space="preserve">установленной расчетом стоимости работ, по указанным в Заявке видам работ, подлежащих выполнению по конкретной Заявке. </w:t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Указанная в Договоре стоимость работ является предельной.</w:t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Предварительная цена Заявки включает в себя стоимость</w:t>
            </w:r>
            <w:r>
              <w:rPr>
                <w:shd w:val="clear" w:color="auto" w:fill="ffffff" w:themeFill="background1"/>
              </w:rPr>
              <w:t xml:space="preserve"> всех работ, предусмотренных Техническим заданием. Окончательная цена Заявки включает в себя стоимость всех работ, предусмотренных разработанной и утвержденной проектно-сметной документацией.</w:t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  <w:shd w:val="clear" w:color="auto" w:fill="ffffff" w:themeFill="background1"/>
              </w:rPr>
              <w:t xml:space="preserve">Начальная (максимальная) цена рамочного договора включает в себ</w:t>
            </w:r>
            <w:r>
              <w:rPr>
                <w:rFonts w:eastAsia="Calibri"/>
                <w:shd w:val="clear" w:color="auto" w:fill="ffffff" w:themeFill="background1"/>
              </w:rPr>
              <w:t xml:space="preserve">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</w:t>
            </w:r>
            <w:r>
              <w:rPr>
                <w:rFonts w:eastAsia="Calibri"/>
                <w:shd w:val="clear" w:color="auto" w:fill="ffffff" w:themeFill="background1"/>
              </w:rPr>
              <w:t xml:space="preserve">лючены в расценки и общую цену заявки, представленной участником закупки.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7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6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Срок, место и порядок предоставления документации о 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закупке,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закупке в форме электронного документа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146"/>
              <w:ind w:left="0"/>
              <w:keepNext w:val="0"/>
              <w:spacing w:before="0" w:after="0"/>
              <w:tabs>
                <w:tab w:val="clear" w:pos="312" w:leader="none"/>
                <w:tab w:val="left" w:pos="708" w:leader="none"/>
              </w:tabs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Документация о закупк</w:t>
            </w: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е в полном объеме в электронном виде безвозмездно доступна для ознакомления на официальном сайте 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Единой информационной системы в сфере закупок (далее ЕИС) (</w:t>
            </w:r>
            <w:hyperlink r:id="rId37" w:tooltip="file:///C:\Users\Алина\Downloads\www.zakupki.gov.ru" w:history="1">
              <w:r>
                <w:rPr>
                  <w:rFonts w:ascii="Times New Roman" w:hAnsi="Times New Roman" w:cs="Times New Roman"/>
                  <w:b w:val="0"/>
                  <w:bCs w:val="0"/>
                  <w:color w:val="0000ff"/>
                  <w:u w:val="single"/>
                </w:rPr>
                <w:t xml:space="preserve">www.zakupki.gov.ru</w:t>
              </w:r>
            </w:hyperlink>
            <w:r>
              <w:rPr>
                <w:rFonts w:ascii="Times New Roman" w:hAnsi="Times New Roman" w:cs="Times New Roman"/>
                <w:b w:val="0"/>
                <w:bCs w:val="0"/>
                <w:u w:val="single"/>
              </w:rPr>
              <w:t xml:space="preserve">)</w:t>
            </w: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, а также на сайте электронной торговой площадки (далее – ЭТП), указанной в пункте </w:t>
            </w:r>
            <w:hyperlink w:tooltip="#_Адрес_электронной_площадки" w:anchor="_Адрес_элек" w:history="1">
              <w:r>
                <w:rPr>
                  <w:rStyle w:val="1364"/>
                  <w:rFonts w:ascii="Times New Roman" w:hAnsi="Times New Roman" w:cs="Times New Roman"/>
                  <w:b w:val="0"/>
                  <w:bCs w:val="0"/>
                </w:rPr>
                <w:t xml:space="preserve">10 части II «ИНФОРМАЦИОННАЯ КАРТА ЗАКУПКИ»</w:t>
              </w:r>
            </w:hyperlink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. Срок начала </w:t>
            </w: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предоставления документации о закупке с момента публикации извещения.</w:t>
            </w:r>
            <w:r>
              <w:rPr>
                <w:rFonts w:ascii="Times New Roman" w:hAnsi="Times New Roman" w:cs="Times New Roman"/>
                <w:b w:val="0"/>
                <w:lang w:eastAsia="en-US"/>
              </w:rPr>
            </w:r>
            <w:r>
              <w:rPr>
                <w:rFonts w:ascii="Times New Roman" w:hAnsi="Times New Roman" w:cs="Times New Roman"/>
                <w:b w:val="0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7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6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26" w:name="_Порядок,_д"/>
            <w:r/>
            <w:bookmarkStart w:id="127" w:name="_Порядок,_дата_начала,"/>
            <w:r/>
            <w:bookmarkEnd w:id="126"/>
            <w:r/>
            <w:bookmarkEnd w:id="127"/>
            <w:r>
              <w:rPr>
                <w:rFonts w:ascii="Times New Roman" w:hAnsi="Times New Roman" w:cs="Times New Roman"/>
                <w:b w:val="0"/>
                <w:bCs w:val="0"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  <w:p>
            <w:pPr>
              <w:pStyle w:val="1146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28" w:name="_Дата_рассмотрения_предложений"/>
            <w:r/>
            <w:bookmarkEnd w:id="128"/>
            <w:r>
              <w:rPr>
                <w:rFonts w:ascii="Times New Roman" w:hAnsi="Times New Roman" w:cs="Times New Roman"/>
                <w:b w:val="0"/>
                <w:bCs w:val="0"/>
              </w:rPr>
              <w:t xml:space="preserve">Дата рассмотрения предложен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ий участников такой закупки и подведения итогов такой закупки, Дата и время окончания срока предоставления участникам закупки разъяснений положений документации о закупке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457"/>
              <w:ind w:left="0"/>
              <w:jc w:val="both"/>
            </w:pPr>
            <w:r>
              <w:t xml:space="preserve">Применяются следующие этапы:</w:t>
            </w:r>
            <w:r/>
          </w:p>
          <w:p>
            <w:pPr>
              <w:pStyle w:val="1457"/>
              <w:numPr>
                <w:ilvl w:val="0"/>
                <w:numId w:val="16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Рассмотрение общих частей заявок</w:t>
            </w:r>
            <w:r>
              <w:t xml:space="preserve">.</w:t>
            </w:r>
            <w:r/>
          </w:p>
          <w:p>
            <w:pPr>
              <w:pStyle w:val="1457"/>
              <w:numPr>
                <w:ilvl w:val="0"/>
                <w:numId w:val="16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Переторжка</w:t>
            </w:r>
            <w:r>
              <w:t xml:space="preserve">.</w:t>
            </w:r>
            <w:r/>
          </w:p>
          <w:p>
            <w:pPr>
              <w:pStyle w:val="1457"/>
              <w:numPr>
                <w:ilvl w:val="0"/>
                <w:numId w:val="16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Подведение итогов</w:t>
            </w:r>
            <w:r>
              <w:t xml:space="preserve">.</w:t>
            </w:r>
            <w:r/>
          </w:p>
          <w:p>
            <w:pPr>
              <w:pStyle w:val="1473"/>
            </w:pPr>
            <w:r/>
            <w:r/>
          </w:p>
          <w:p>
            <w:pPr>
              <w:pStyle w:val="1473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ЭТП.</w:t>
            </w:r>
            <w:r/>
          </w:p>
          <w:p>
            <w:pPr>
              <w:pStyle w:val="1473"/>
              <w:jc w:val="both"/>
            </w:pPr>
            <w:r/>
            <w:r/>
          </w:p>
          <w:p>
            <w:pPr>
              <w:pStyle w:val="1473"/>
              <w:jc w:val="both"/>
            </w:pPr>
            <w:r>
              <w:rPr>
                <w:b/>
              </w:rPr>
              <w:t xml:space="preserve">Дата начала срока подачи заявок</w:t>
            </w:r>
            <w:r>
              <w:t xml:space="preserve">: «04</w:t>
            </w:r>
            <w:r>
              <w:t xml:space="preserve">» июня 2026 года;</w:t>
            </w:r>
            <w:r/>
          </w:p>
          <w:p>
            <w:pPr>
              <w:pStyle w:val="1473"/>
              <w:jc w:val="both"/>
            </w:pPr>
            <w:r/>
            <w:r/>
          </w:p>
          <w:p>
            <w:pPr>
              <w:pStyle w:val="1473"/>
              <w:jc w:val="both"/>
              <w:rPr>
                <w:b/>
                <w:bCs/>
              </w:rPr>
            </w:pPr>
            <w:r>
              <w:rPr>
                <w:b/>
              </w:rPr>
              <w:t xml:space="preserve">Дата и время окончания срока предоставления участникам закупки разъясне</w:t>
            </w:r>
            <w:r>
              <w:rPr>
                <w:b/>
              </w:rPr>
              <w:t xml:space="preserve">ний положений документации о закупке: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1473"/>
              <w:jc w:val="both"/>
              <w:rPr>
                <w:highlight w:val="white"/>
              </w:rPr>
            </w:pPr>
            <w:r>
              <w:t xml:space="preserve">«01</w:t>
            </w:r>
            <w:r>
              <w:t xml:space="preserve">» июля 2026 го</w:t>
            </w:r>
            <w:r>
              <w:rPr>
                <w:highlight w:val="white"/>
              </w:rPr>
              <w:t xml:space="preserve">да 13:3</w:t>
            </w:r>
            <w:r>
              <w:rPr>
                <w:highlight w:val="white"/>
              </w:rPr>
              <w:t xml:space="preserve">0 (МСК-1)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473"/>
              <w:jc w:val="both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1473"/>
              <w:jc w:val="both"/>
            </w:pPr>
            <w:r>
              <w:rPr>
                <w:b/>
              </w:rPr>
              <w:t xml:space="preserve">Дата и время окончания срока, последний день срока подачи Заявок</w:t>
            </w:r>
            <w:r>
              <w:t xml:space="preserve">:</w:t>
            </w:r>
            <w:r/>
          </w:p>
          <w:p>
            <w:pPr>
              <w:pStyle w:val="1473"/>
              <w:jc w:val="both"/>
              <w:rPr>
                <w:highlight w:val="white"/>
              </w:rPr>
            </w:pPr>
            <w:r>
              <w:t xml:space="preserve">«01</w:t>
            </w:r>
            <w:r>
              <w:t xml:space="preserve">» июля 2026 го</w:t>
            </w:r>
            <w:r>
              <w:rPr>
                <w:highlight w:val="white"/>
              </w:rPr>
              <w:t xml:space="preserve">да 14:3</w:t>
            </w:r>
            <w:bookmarkStart w:id="129" w:name="_GoBack"/>
            <w:r/>
            <w:bookmarkEnd w:id="129"/>
            <w:r>
              <w:rPr>
                <w:highlight w:val="white"/>
              </w:rPr>
              <w:t xml:space="preserve">0 (МСК-1)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473"/>
              <w:jc w:val="both"/>
            </w:pPr>
            <w:r/>
            <w:r/>
          </w:p>
          <w:p>
            <w:pPr>
              <w:pStyle w:val="1473"/>
              <w:jc w:val="both"/>
            </w:pPr>
            <w:r>
              <w:rPr>
                <w:b/>
              </w:rPr>
              <w:t xml:space="preserve">Рассмотрение общих частей заявок</w:t>
            </w:r>
            <w:r>
              <w:t xml:space="preserve">:</w:t>
            </w:r>
            <w:r/>
          </w:p>
          <w:p>
            <w:pPr>
              <w:pStyle w:val="1473"/>
              <w:jc w:val="both"/>
            </w:pPr>
            <w:r>
              <w:t xml:space="preserve">Дата начала проведения этапа: с момента с моме</w:t>
            </w:r>
            <w:r>
              <w:t xml:space="preserve">нта направления оператором ЭТП заказчику общих частей заявок</w:t>
            </w:r>
            <w:r/>
          </w:p>
          <w:p>
            <w:pPr>
              <w:pStyle w:val="1473"/>
              <w:jc w:val="both"/>
            </w:pPr>
            <w:r>
              <w:t xml:space="preserve">Дата проведения этапа: «17</w:t>
            </w:r>
            <w:r>
              <w:t xml:space="preserve">» июля 2026 года.</w:t>
            </w:r>
            <w:r/>
          </w:p>
          <w:p>
            <w:pPr>
              <w:pStyle w:val="1473"/>
              <w:jc w:val="both"/>
            </w:pPr>
            <w:r/>
            <w:r/>
          </w:p>
          <w:p>
            <w:pPr>
              <w:pStyle w:val="1473"/>
              <w:jc w:val="both"/>
              <w:rPr>
                <w:b/>
                <w:bCs/>
              </w:rPr>
            </w:pPr>
            <w:r>
              <w:rPr>
                <w:b/>
              </w:rPr>
              <w:t xml:space="preserve">Переторжка: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Дата начала проведения этапа: не менее 24 (двадцати четырех) часов с момента публикации в ЕИС протокола рассмотрения общих частей заявок.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Длительность проведения переторжки: не менее 3 (трех) часов.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b/>
              </w:rPr>
              <w:t xml:space="preserve">Шаг переторжки</w:t>
            </w:r>
            <w:r>
              <w:t xml:space="preserve">: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pStyle w:val="1473"/>
              <w:jc w:val="both"/>
              <w:rPr>
                <w:color w:val="auto"/>
                <w:shd w:val="clear" w:color="auto" w:fill="ffffff"/>
              </w:rPr>
            </w:pPr>
            <w:r>
              <w:rPr>
                <w:color w:val="auto"/>
                <w:shd w:val="clear" w:color="auto" w:fill="ffffff"/>
              </w:rPr>
              <w:t xml:space="preserve">0,0001 – 0,0010 от коэффициента тендерного снижения.</w:t>
            </w:r>
            <w:r>
              <w:rPr>
                <w:color w:val="auto"/>
                <w:shd w:val="clear" w:color="auto" w:fill="ffffff"/>
              </w:rPr>
            </w:r>
            <w:r>
              <w:rPr>
                <w:color w:val="auto"/>
                <w:shd w:val="clear" w:color="auto" w:fill="ffffff"/>
              </w:rPr>
            </w:r>
          </w:p>
          <w:p>
            <w:pPr>
              <w:pStyle w:val="1473"/>
              <w:jc w:val="both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pStyle w:val="1473"/>
              <w:jc w:val="both"/>
            </w:pPr>
            <w:r>
              <w:rPr>
                <w:b/>
              </w:rPr>
              <w:t xml:space="preserve">Подведение итогов</w:t>
            </w:r>
            <w:r>
              <w:t xml:space="preserve">:</w:t>
            </w:r>
            <w:r/>
          </w:p>
          <w:p>
            <w:pPr>
              <w:pStyle w:val="1473"/>
              <w:jc w:val="both"/>
            </w:pPr>
            <w:r>
              <w:t xml:space="preserve">Дата проведения этапа: «24</w:t>
            </w:r>
            <w:r>
              <w:t xml:space="preserve">» июля 2026 года.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7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6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30" w:name="_Адрес_элек"/>
            <w:r/>
            <w:bookmarkStart w:id="131" w:name="_Адрес_электронной_площадки"/>
            <w:r/>
            <w:bookmarkEnd w:id="130"/>
            <w:r/>
            <w:bookmarkEnd w:id="131"/>
            <w:r>
              <w:rPr>
                <w:rFonts w:ascii="Times New Roman" w:hAnsi="Times New Roman" w:cs="Times New Roman"/>
                <w:b w:val="0"/>
                <w:bCs w:val="0"/>
              </w:rPr>
              <w:t xml:space="preserve">Адрес электронной площадки в информационно телекоммуникационной сети «Интернет»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t xml:space="preserve">Сайт электронной торговой площадки:</w:t>
            </w:r>
            <w:r/>
          </w:p>
          <w:p>
            <w:pPr>
              <w:spacing w:after="0"/>
              <w:rPr>
                <w:b/>
              </w:rPr>
            </w:pPr>
            <w:r/>
            <w:hyperlink r:id="rId38" w:tooltip="https://tender.lot-online.ru" w:history="1">
              <w:r>
                <w:rPr>
                  <w:rStyle w:val="1364"/>
                </w:rPr>
                <w:t xml:space="preserve">https://tender.lot-online.ru</w:t>
              </w:r>
            </w:hyperlink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7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6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highlight w:val="white"/>
              </w:rPr>
            </w:pPr>
            <w:r/>
            <w:bookmarkStart w:id="132" w:name="_Размер_обе"/>
            <w:r/>
            <w:bookmarkStart w:id="133" w:name="_Размер_обеспечения_заявок"/>
            <w:r/>
            <w:bookmarkEnd w:id="132"/>
            <w:r/>
            <w:bookmarkEnd w:id="133"/>
            <w:r>
              <w:rPr>
                <w:rFonts w:ascii="Times New Roman" w:hAnsi="Times New Roman" w:cs="Times New Roman"/>
                <w:b w:val="0"/>
                <w:bCs w:val="0"/>
                <w:highlight w:val="white"/>
              </w:rPr>
              <w:t xml:space="preserve">Размер обеспечения заявок на участие в закупке, порядок, срок и случаи возврата такого обеспечения, и иные требования к такому обеспечению, в том числе условия независимой гарантии</w:t>
            </w:r>
            <w:r>
              <w:rPr>
                <w:rFonts w:ascii="Times New Roman" w:hAnsi="Times New Roman" w:cs="Times New Roman"/>
                <w:b w:val="0"/>
                <w:bCs w:val="0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rPr>
                <w:highlight w:val="white"/>
              </w:rPr>
            </w:pPr>
            <w:r>
              <w:rPr>
                <w:b/>
                <w:bCs/>
                <w:highlight w:val="white"/>
              </w:rPr>
              <w:t xml:space="preserve">Установлено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highlight w:val="white"/>
              </w:rPr>
            </w:pPr>
            <w:r>
              <w:rPr>
                <w:highlight w:val="white"/>
              </w:rPr>
              <w:t xml:space="preserve">Сумма обеспечения заявки предусмотрена в размере 2% от началь</w:t>
            </w:r>
            <w:r>
              <w:rPr>
                <w:highlight w:val="white"/>
              </w:rPr>
              <w:t xml:space="preserve">ной (максимальной) цены договора, что составляет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Cs/>
                <w:highlight w:val="white"/>
              </w:rPr>
              <w:t xml:space="preserve">1 220 000 (Один миллион двести двадцать тысяч) рублей 00 копеек</w:t>
            </w:r>
            <w:r>
              <w:rPr>
                <w:highlight w:val="white"/>
              </w:rPr>
              <w:t xml:space="preserve">, НДС не облагается.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bCs/>
                <w:highlight w:val="white"/>
              </w:rPr>
            </w:pPr>
            <w:r>
              <w:rPr>
                <w:bCs/>
                <w:highlight w:val="white"/>
                <w:lang w:eastAsia="en-US"/>
              </w:rPr>
              <w:t xml:space="preserve">Обеспечение заявки может быть представлено в форме внесения денежных средств на </w:t>
            </w:r>
            <w:r>
              <w:rPr>
                <w:highlight w:val="white"/>
              </w:rPr>
              <w:t xml:space="preserve">Лицевой счет участника закупки, открытый о</w:t>
            </w:r>
            <w:r>
              <w:rPr>
                <w:highlight w:val="white"/>
              </w:rPr>
              <w:t xml:space="preserve">ператором электронной площадки в соответствии с правилами, установленными Регламентом работы ЭТП</w:t>
            </w:r>
            <w:r>
              <w:rPr>
                <w:bCs/>
                <w:highlight w:val="white"/>
                <w:lang w:eastAsia="en-US"/>
              </w:rPr>
              <w:t xml:space="preserve"> или в форме независимой гарантии. Выбор способа обеспечения заявки на участие в закупке осуществляется участником закупки самостоятельно.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spacing w:after="0"/>
              <w:rPr>
                <w:bCs/>
                <w:highlight w:val="white"/>
              </w:rPr>
            </w:pPr>
            <w:r>
              <w:rPr>
                <w:highlight w:val="white"/>
              </w:rPr>
              <w:t xml:space="preserve">Порядок и случаи бло</w:t>
            </w:r>
            <w:r>
              <w:rPr>
                <w:highlight w:val="white"/>
              </w:rPr>
              <w:t xml:space="preserve">кирования денежных средств, внесенных участниками закупки в целях обеспечения заявок на участие в закупке, </w:t>
            </w:r>
            <w:r>
              <w:rPr>
                <w:highlight w:val="white"/>
              </w:rPr>
              <w:t xml:space="preserve">и прекращения данного блокирования установлены действующим законодательством о закупках отдельных видов юридических лиц, а также Регламентом работы Э</w:t>
            </w:r>
            <w:r>
              <w:rPr>
                <w:highlight w:val="white"/>
              </w:rPr>
              <w:t xml:space="preserve">ТП</w:t>
            </w:r>
            <w:r>
              <w:rPr>
                <w:bCs/>
                <w:highlight w:val="white"/>
              </w:rPr>
              <w:t xml:space="preserve">.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spacing w:after="0"/>
              <w:rPr>
                <w:highlight w:val="white"/>
              </w:rPr>
            </w:pPr>
            <w:r>
              <w:rPr>
                <w:bCs/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rStyle w:val="1364"/>
                <w:highlight w:val="white"/>
              </w:rPr>
            </w:pPr>
            <w:r>
              <w:rPr>
                <w:bCs/>
                <w:highlight w:val="white"/>
              </w:rPr>
              <w:t xml:space="preserve">Требования к такому обеспечению, в том числе условия независимой гарантии установлены в пункте </w:t>
            </w:r>
            <w:hyperlink w:tooltip="#_Требования_к_обеспечению" w:anchor="_3.6._Требо" w:history="1">
              <w:r>
                <w:rPr>
                  <w:rStyle w:val="1364"/>
                  <w:highlight w:val="white"/>
                </w:rPr>
                <w:t xml:space="preserve">3.6. части I «ОБЩИЕ УСЛОВИЯ ПРОВЕДЕНИЯ ЗАКУПКИ»</w:t>
              </w:r>
            </w:hyperlink>
            <w:r>
              <w:rPr>
                <w:highlight w:val="white"/>
              </w:rPr>
              <w:t xml:space="preserve">.</w:t>
            </w:r>
            <w:r>
              <w:rPr>
                <w:rStyle w:val="1364"/>
                <w:highlight w:val="white"/>
              </w:rPr>
            </w:r>
            <w:r>
              <w:rPr>
                <w:rStyle w:val="1364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7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6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34" w:name="_Информация"/>
            <w:r/>
            <w:bookmarkStart w:id="135" w:name="_Сведения_о_предоставлении"/>
            <w:r/>
            <w:bookmarkEnd w:id="134"/>
            <w:r/>
            <w:bookmarkEnd w:id="135"/>
            <w:r>
              <w:rPr>
                <w:rFonts w:ascii="Times New Roman" w:hAnsi="Times New Roman" w:cs="Times New Roman"/>
                <w:b w:val="0"/>
                <w:bCs w:val="0"/>
              </w:rPr>
              <w:t xml:space="preserve">Информация об установлении запрета или ограничения закупки работ, услуг, соответственно выполняемых, оказываемых иностранными лицами, в случае, если такие запреты, ограничения и преимущества установлены в Постановлении Правительства РФ от 23.12.2024 № 1875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ПП 1875).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spacing w:after="0"/>
              <w:rPr>
                <w:b/>
              </w:rPr>
            </w:pPr>
            <w:r>
              <w:t xml:space="preserve">Не установлено.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7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6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Инф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ормацию о возможности изменения сроков проведения этапов закупки, осуществляемых после окончания срока подачи заявок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t xml:space="preserve">По решению Закупочной комиссии после окончания срока подачи заявок Организатор закупки вправе изменить сроки проведения последующих этапов </w:t>
            </w:r>
            <w:r>
              <w:t xml:space="preserve">закупки.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7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6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36" w:name="_Единые_требования_к"/>
            <w:r/>
            <w:bookmarkStart w:id="137" w:name="Par55"/>
            <w:r/>
            <w:bookmarkEnd w:id="136"/>
            <w:r>
              <w:rPr>
                <w:rFonts w:ascii="Times New Roman" w:hAnsi="Times New Roman" w:cs="Times New Roman"/>
                <w:b w:val="0"/>
                <w:bCs w:val="0"/>
              </w:rPr>
              <w:t xml:space="preserve">Единые требования к участникам закупки</w:t>
            </w:r>
            <w:bookmarkEnd w:id="137"/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457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должен обладать гражданской правоспособностью в полном объеме для заключения и исполнения Договора;</w:t>
            </w:r>
            <w:r/>
          </w:p>
          <w:p>
            <w:pPr>
              <w:pStyle w:val="1457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не должен являться неплатежеспособным или банкротом, должно отсутствовать вступившее в законную силу решен</w:t>
            </w:r>
            <w:r>
              <w:t xml:space="preserve">ие арбитражного суда об открытии конкурсного производства, не должен находиться в процессе ликвидации, на имущество Участника не должен быть наложен арест, экономическая деятельность Участника не должна быть приостановлена;</w:t>
            </w:r>
            <w:r/>
          </w:p>
          <w:p>
            <w:pPr>
              <w:pStyle w:val="1457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rPr>
                <w:bCs/>
              </w:rPr>
              <w:t xml:space="preserve">должна отсутствовать недоимка по</w:t>
            </w:r>
            <w:r>
              <w:rPr>
                <w:bCs/>
              </w:rPr>
              <w:t xml:space="preserve"> налогам, сборам, задолженность по иным обязательным платежам в бюджеты бюджетной системы Российской Федерации за прошедший </w:t>
            </w:r>
            <w:r>
              <w:rPr>
                <w:bCs/>
              </w:rPr>
              <w:t xml:space="preserve">календарный год, размер которых превышает двадцать пять процентов балансовой стоимости активов Участника, по данным бухгалтерской от</w:t>
            </w:r>
            <w:r>
              <w:rPr>
                <w:bCs/>
              </w:rPr>
              <w:t xml:space="preserve">четности за последний отчетный период;</w:t>
            </w:r>
            <w:r/>
          </w:p>
          <w:p>
            <w:pPr>
              <w:pStyle w:val="1457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  <w:rPr>
                <w:color w:val="000000" w:themeColor="text1"/>
              </w:rPr>
            </w:pPr>
            <w:r>
              <w:rPr>
                <w:lang w:eastAsia="zh-CN"/>
              </w:rPr>
              <w:t xml:space="preserve">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должно отсутствовать административное наказание в виде дисквалифик</w:t>
            </w:r>
            <w:r>
              <w:rPr>
                <w:lang w:eastAsia="zh-CN"/>
              </w:rPr>
              <w:t xml:space="preserve">ации. Должны отсутствовать сведения об участнике закупки в реестре розыска по исполнительным производствам на электронном портале </w:t>
            </w:r>
            <w:hyperlink r:id="rId39" w:tooltip="http://fssprus.ru/" w:history="1">
              <w:r>
                <w:rPr>
                  <w:rStyle w:val="1364"/>
                  <w:lang w:eastAsia="zh-CN"/>
                </w:rPr>
                <w:t xml:space="preserve">http://fssprus.ru/</w:t>
              </w:r>
            </w:hyperlink>
            <w:r>
              <w:rPr>
                <w:color w:val="000000" w:themeColor="text1"/>
              </w:rPr>
              <w:t xml:space="preserve">;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457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в течение двух лет до момента подачи заявки на </w:t>
            </w:r>
            <w:r>
              <w:t xml:space="preserve">участие в закупке, участник закупки не должен иметь фактов привлечения к административной ответственности за совершение административного правонарушения, предусмотренного </w:t>
            </w:r>
            <w:hyperlink r:id="rId40" w:tooltip="http://www.consultant.ru/document/cons_doc_LAW_34661/f61ff313afecf81a91a43d729c2df55c1d6a1533/" w:history="1">
              <w:r>
                <w:rPr>
                  <w:rStyle w:val="1364"/>
                </w:rPr>
                <w:t xml:space="preserve">статьей 19.28</w:t>
              </w:r>
            </w:hyperlink>
            <w:r>
              <w:t xml:space="preserve"> Кодекса Российской Федерации об административных правонарушениях;</w:t>
            </w:r>
            <w:r/>
          </w:p>
          <w:p>
            <w:pPr>
              <w:pStyle w:val="1457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отсутствие сведений об Участнике в </w:t>
            </w:r>
            <w:hyperlink r:id="rId41" w:tooltip="https://zakupki.gov.ru/epz/dishonestsupplier/search/results.html" w:history="1">
              <w:r>
                <w:rPr>
                  <w:rStyle w:val="1364"/>
                </w:rPr>
                <w:t xml:space="preserve">Реестре</w:t>
              </w:r>
            </w:hyperlink>
            <w:r>
              <w:t xml:space="preserve"> недобросовестных поставщиков, который ведется в соответствии с </w:t>
            </w:r>
            <w:hyperlink r:id="rId42" w:tooltip="https://www.consultant.ru/document/cons_doc_LAW_116964/a3b63487ad7d07ce045a07b0f1e7a9d9b064de95/?ysclid=lgq77170fl163638946" w:history="1">
              <w:r>
                <w:rPr>
                  <w:rStyle w:val="1364"/>
                </w:rPr>
                <w:t xml:space="preserve">Федеральным законом от 18.07.2011 № </w:t>
              </w:r>
              <w:r>
                <w:rPr>
                  <w:rStyle w:val="1364"/>
                </w:rPr>
                <w:t xml:space="preserve">223-ФЗ «О закупках товаров, работ, услуг отдельными видами юридических лиц»</w:t>
              </w:r>
            </w:hyperlink>
            <w:r>
              <w:t xml:space="preserve">;</w:t>
            </w:r>
            <w:r/>
          </w:p>
          <w:p>
            <w:pPr>
              <w:pStyle w:val="1457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отсутствие сведений об Участнике в </w:t>
            </w:r>
            <w:hyperlink r:id="rId43" w:tooltip="https://zakupki.gov.ru/epz/dishonestsupplier/search/results.html" w:history="1">
              <w:r>
                <w:rPr>
                  <w:rStyle w:val="1364"/>
                </w:rPr>
                <w:t xml:space="preserve">Реестре</w:t>
              </w:r>
            </w:hyperlink>
            <w:r>
              <w:t xml:space="preserve"> недобросовестных поставщиков, который ведется в соответствии с </w:t>
            </w:r>
            <w:hyperlink r:id="rId44" w:tooltip="https://www.consultant.ru/document/cons_doc_LAW_144624/af90cad46f4484d18fa490ef1c9d7a3b2fd3be3b/" w:history="1">
              <w:r>
                <w:rPr>
                  <w:rStyle w:val="1364"/>
                </w:rPr>
                <w:t xml:space="preserve">Федеральным законом от 05.04.2013 N 44-ФЗ «О контрактной системе в сфере заку</w:t>
              </w:r>
              <w:r>
                <w:rPr>
                  <w:rStyle w:val="1364"/>
                </w:rPr>
                <w:t xml:space="preserve">пок товаров, работ, услуг для обеспечения государственных и муниципальных нужд»</w:t>
              </w:r>
            </w:hyperlink>
            <w:r>
              <w:t xml:space="preserve">;</w:t>
            </w:r>
            <w:r/>
          </w:p>
          <w:p>
            <w:pPr>
              <w:pStyle w:val="1457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    отсутствие сведений об Участнике в </w:t>
            </w:r>
            <w:hyperlink r:id="rId45" w:tooltip="https://minjust.gov.ru/ru/activity/directions/998/" w:history="1">
              <w:r>
                <w:rPr>
                  <w:rStyle w:val="1364"/>
                </w:rPr>
                <w:t xml:space="preserve">Реестре</w:t>
              </w:r>
            </w:hyperlink>
            <w:r>
              <w:t xml:space="preserve"> иност</w:t>
            </w:r>
            <w:r>
              <w:t xml:space="preserve">ранных агентов, размещенном на официальном сайте уполномоченного органа в информационно-телекоммуникационной сети «Интернет», который ведется в соответствии с </w:t>
            </w:r>
            <w:hyperlink r:id="rId46" w:tooltip="https://www.consultant.ru/document/cons_doc_LAW_421788/?ysclid=lg20fc4h7v470804950" w:history="1">
              <w:r>
                <w:rPr>
                  <w:rStyle w:val="1364"/>
                </w:rPr>
                <w:t xml:space="preserve">Федеральным законом от 14 июля 2022 года N 255-ФЗ «О контроле за деятельностью лиц, находящихся под иностранным влиянием»</w:t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7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6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38" w:name="_Требования,_установленные_в"/>
            <w:r/>
            <w:bookmarkEnd w:id="138"/>
            <w:r>
              <w:rPr>
                <w:rFonts w:ascii="Times New Roman" w:hAnsi="Times New Roman" w:cs="Times New Roman"/>
                <w:b w:val="0"/>
                <w:bCs w:val="0"/>
              </w:rPr>
              <w:t xml:space="preserve">Требования, установленные в соответствии 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с законодательством Российской Федерации к лицам, осуществляющим поставку товара, выполнение работы, оказание услуги, являющихся предметом закупки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contextualSpacing/>
              <w:tabs>
                <w:tab w:val="left" w:pos="459" w:leader="none"/>
              </w:tabs>
              <w:rPr>
                <w:highlight w:val="white"/>
              </w:rPr>
            </w:pPr>
            <w:r>
              <w:rPr>
                <w:b/>
                <w:bCs/>
                <w:highlight w:val="white"/>
                <w:lang w:eastAsia="en-US"/>
              </w:rPr>
              <w:t xml:space="preserve">Установлены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contextualSpacing/>
              <w:tabs>
                <w:tab w:val="left" w:pos="459" w:leader="none"/>
              </w:tabs>
            </w:pPr>
            <w:r/>
            <w:r/>
          </w:p>
          <w:p>
            <w:pPr>
              <w:pStyle w:val="1457"/>
              <w:numPr>
                <w:ilvl w:val="1"/>
                <w:numId w:val="29"/>
              </w:numPr>
              <w:contextualSpacing/>
              <w:ind w:left="0" w:firstLine="283"/>
              <w:jc w:val="both"/>
              <w:tabs>
                <w:tab w:val="left" w:pos="459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Участник должен быть членом саморегулируемой организации: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457"/>
              <w:numPr>
                <w:ilvl w:val="0"/>
                <w:numId w:val="30"/>
              </w:numPr>
              <w:ind w:left="0" w:firstLine="283"/>
              <w:jc w:val="both"/>
              <w:rPr>
                <w:i/>
                <w:highlight w:val="white"/>
              </w:rPr>
            </w:pPr>
            <w:r>
              <w:rPr>
                <w:b/>
                <w:highlight w:val="white"/>
              </w:rPr>
              <w:t xml:space="preserve">в области инженерных изысканий</w:t>
            </w:r>
            <w:r>
              <w:rPr>
                <w:highlight w:val="white"/>
              </w:rPr>
              <w:t xml:space="preserve"> (не требуется членство в саморегулируемых организациях в области инженерных изысканий в случаях, которые перечислены в части </w:t>
            </w:r>
            <w:hyperlink r:id="rId47" w:tooltip="https://www.consultant.ru/document/cons_doc_LAW_51040/f651879e0acd4680a6fdc29f983536624055cbcc/?ysclid=lh7dhcp1aq961991988#dst1676" w:anchor="dst1676" w:history="1">
              <w:r>
                <w:rPr>
                  <w:rStyle w:val="1364"/>
                  <w:highlight w:val="white"/>
                </w:rPr>
                <w:t xml:space="preserve">2.1 статьи 47 Градостроительного кодекса </w:t>
              </w:r>
              <w:r>
                <w:rPr>
                  <w:rStyle w:val="1364"/>
                  <w:highlight w:val="white"/>
                </w:rPr>
                <w:t xml:space="preserve">Российской Федерации</w:t>
              </w:r>
            </w:hyperlink>
            <w:r>
              <w:rPr>
                <w:highlight w:val="white"/>
              </w:rPr>
              <w:t xml:space="preserve">). Адрес сайта в информационно-телеко</w:t>
            </w:r>
            <w:r>
              <w:rPr>
                <w:highlight w:val="white"/>
              </w:rPr>
              <w:t xml:space="preserve">ммуникационной сети «Интернет», на которых размещены эти информация и документы: </w:t>
            </w:r>
            <w:hyperlink r:id="rId48" w:tooltip="https://nopriz.ru/" w:history="1">
              <w:r>
                <w:rPr>
                  <w:rStyle w:val="1364"/>
                  <w:highlight w:val="white"/>
                </w:rPr>
                <w:t xml:space="preserve">https://nopriz.ru/</w:t>
              </w:r>
            </w:hyperlink>
            <w:r>
              <w:rPr>
                <w:highlight w:val="white"/>
              </w:rPr>
              <w:t xml:space="preserve">;</w:t>
            </w:r>
            <w:r>
              <w:rPr>
                <w:i/>
                <w:highlight w:val="white"/>
              </w:rPr>
            </w:r>
            <w:r>
              <w:rPr>
                <w:i/>
                <w:highlight w:val="white"/>
              </w:rPr>
            </w:r>
          </w:p>
          <w:p>
            <w:pPr>
              <w:pStyle w:val="1457"/>
              <w:numPr>
                <w:ilvl w:val="0"/>
                <w:numId w:val="30"/>
              </w:numPr>
              <w:ind w:left="0" w:firstLine="283"/>
              <w:jc w:val="both"/>
              <w:rPr>
                <w:highlight w:val="white"/>
              </w:rPr>
            </w:pPr>
            <w:r>
              <w:rPr>
                <w:b/>
                <w:highlight w:val="white"/>
              </w:rPr>
              <w:t xml:space="preserve">в области проектирования</w:t>
            </w:r>
            <w:r>
              <w:rPr>
                <w:highlight w:val="white"/>
              </w:rPr>
              <w:t xml:space="preserve"> (не требуется членство в саморегулируемых организациях в области архите</w:t>
            </w:r>
            <w:r>
              <w:rPr>
                <w:highlight w:val="white"/>
              </w:rPr>
              <w:t xml:space="preserve">ктурно-строительного проектирования в случаях, которые перечислены в </w:t>
            </w:r>
            <w:hyperlink r:id="rId49" w:tooltip="https://www.consultant.ru/document/cons_doc_LAW_51040/b884020ea7453099ba8bc9ca021b84982cadea7d/?ysclid=lh7dkmbcyr186717647#dst1683" w:anchor="dst1683" w:history="1">
              <w:r>
                <w:rPr>
                  <w:rStyle w:val="1364"/>
                  <w:highlight w:val="white"/>
                </w:rPr>
                <w:t xml:space="preserve">части 4.1 статьи 48 Градостроительного кодекса Российской Федерации</w:t>
              </w:r>
            </w:hyperlink>
            <w:r>
              <w:rPr>
                <w:highlight w:val="white"/>
              </w:rPr>
              <w:t xml:space="preserve">). Адрес сайта в информационно-телекоммуникационной сети «Интернет», на которых размещен</w:t>
            </w:r>
            <w:r>
              <w:rPr>
                <w:highlight w:val="white"/>
              </w:rPr>
              <w:t xml:space="preserve">ы эти информация и документы: </w:t>
            </w:r>
            <w:hyperlink r:id="rId50" w:tooltip="https://nopriz.ru/" w:history="1">
              <w:r>
                <w:rPr>
                  <w:rStyle w:val="1364"/>
                  <w:highlight w:val="white"/>
                </w:rPr>
                <w:t xml:space="preserve">https://nopriz.ru/</w:t>
              </w:r>
            </w:hyperlink>
            <w:r>
              <w:rPr>
                <w:highlight w:val="white"/>
              </w:rPr>
              <w:t xml:space="preserve">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457"/>
              <w:numPr>
                <w:ilvl w:val="0"/>
                <w:numId w:val="30"/>
              </w:numPr>
              <w:ind w:left="0" w:firstLine="283"/>
              <w:jc w:val="both"/>
              <w:rPr>
                <w:i/>
                <w:highlight w:val="white"/>
              </w:rPr>
            </w:pPr>
            <w:r>
              <w:rPr>
                <w:b/>
                <w:highlight w:val="white"/>
              </w:rPr>
              <w:t xml:space="preserve">в области строительства, реконструкции, капитального ремонта объектов капитального строительства</w:t>
            </w:r>
            <w:r>
              <w:rPr>
                <w:highlight w:val="white"/>
              </w:rPr>
              <w:t xml:space="preserve"> (не требуется членство в саморегулируемых организа</w:t>
            </w:r>
            <w:r>
              <w:rPr>
                <w:highlight w:val="white"/>
              </w:rPr>
              <w:t xml:space="preserve">циях в области строительства, реконструкции, капитального ремонта в случаях, которые перечислены в </w:t>
            </w:r>
            <w:hyperlink r:id="rId51" w:tooltip="https://www.consultant.ru/document/cons_doc_LAW_51040/df32b8231cf067c4d4e864c717eb6b398358b504/?ysclid=lh7dmiyi73943741650#dst1696" w:anchor="dst1696" w:history="1">
              <w:r>
                <w:rPr>
                  <w:rStyle w:val="1364"/>
                  <w:highlight w:val="white"/>
                </w:rPr>
                <w:t xml:space="preserve">части 2.1 и в части 2.2 статьи 52 Градостроительного кодекса Российской Федерации</w:t>
              </w:r>
            </w:hyperlink>
            <w:r>
              <w:rPr>
                <w:highlight w:val="white"/>
              </w:rPr>
              <w:t xml:space="preserve">). Адрес сайта в информационно-телекоммуника</w:t>
            </w:r>
            <w:r>
              <w:rPr>
                <w:highlight w:val="white"/>
              </w:rPr>
              <w:t xml:space="preserve">ционной сети «Интернет», на которых размещены эти информация и документы: </w:t>
            </w:r>
            <w:hyperlink r:id="rId52" w:tooltip="https://nostroy.ru/" w:history="1">
              <w:r>
                <w:rPr>
                  <w:rStyle w:val="1364"/>
                  <w:highlight w:val="white"/>
                </w:rPr>
                <w:t xml:space="preserve">https://nostroy.ru/</w:t>
              </w:r>
            </w:hyperlink>
            <w:r>
              <w:rPr>
                <w:i/>
                <w:highlight w:val="white"/>
              </w:rPr>
              <w:t xml:space="preserve">.</w:t>
            </w:r>
            <w:r>
              <w:rPr>
                <w:i/>
                <w:highlight w:val="white"/>
              </w:rPr>
            </w:r>
            <w:r>
              <w:rPr>
                <w:i/>
                <w:highlight w:val="white"/>
              </w:rPr>
            </w:r>
          </w:p>
          <w:p>
            <w:pPr>
              <w:pStyle w:val="1457"/>
              <w:ind w:left="0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Участник закупки, должен иметь право выполнять работы в отношении объектов капитального строительств</w:t>
            </w:r>
            <w:r>
              <w:rPr>
                <w:highlight w:val="white"/>
              </w:rPr>
              <w:t xml:space="preserve">а (кроме особо опасных, технически сложных и уникальных объектов, а также объектов использования атомной энергии).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457"/>
              <w:ind w:left="0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Саморегулируемая организация, в которой состоит участник, должна иметь компенсационный фонд обеспечения договорных обязательств.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after="0"/>
              <w:shd w:val="clear" w:color="auto" w:fill="ffffff"/>
              <w:rPr>
                <w:highlight w:val="white"/>
              </w:rPr>
            </w:pPr>
            <w:r>
              <w:rPr>
                <w:highlight w:val="white"/>
              </w:rPr>
              <w:t xml:space="preserve">Совокупный р</w:t>
            </w:r>
            <w:r>
              <w:rPr>
                <w:highlight w:val="white"/>
              </w:rPr>
              <w:t xml:space="preserve">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7"/>
              <w:numPr>
                <w:ilvl w:val="0"/>
                <w:numId w:val="15"/>
              </w:numPr>
              <w:contextualSpacing/>
              <w:ind w:hanging="828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</w:r>
            <w:r>
              <w:rPr>
                <w:rFonts w:eastAsiaTheme="minorHAnsi"/>
                <w:b/>
                <w:lang w:eastAsia="en-US"/>
              </w:rPr>
            </w:r>
            <w:r>
              <w:rPr>
                <w:rFonts w:eastAsiaTheme="minorHAnsi"/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457"/>
              <w:contextualSpacing/>
              <w:ind w:left="0"/>
              <w:jc w:val="both"/>
              <w:tabs>
                <w:tab w:val="left" w:pos="351" w:leader="none"/>
              </w:tabs>
            </w:pPr>
            <w:r/>
            <w:bookmarkStart w:id="139" w:name="_Квалификационные_требования_к"/>
            <w:r/>
            <w:bookmarkStart w:id="140" w:name="Par56"/>
            <w:r/>
            <w:bookmarkEnd w:id="139"/>
            <w:r>
              <w:t xml:space="preserve">Иные отборочные критерии, установленные в соответствии </w:t>
            </w:r>
            <w:bookmarkEnd w:id="140"/>
            <w:r>
              <w:t xml:space="preserve">с   Приложением 1 к «Типовым требованиям к участникам закупок, критериям и порядку оценки заявок участников закупок» Единого стандарта ПАО «Россети»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contextualSpacing/>
              <w:tabs>
                <w:tab w:val="left" w:pos="459" w:leader="none"/>
              </w:tabs>
            </w:pPr>
            <w:r>
              <w:rPr>
                <w:b/>
                <w:bCs/>
                <w:highlight w:val="white"/>
                <w:lang w:eastAsia="en-US"/>
              </w:rPr>
              <w:t xml:space="preserve">Установлены</w:t>
            </w:r>
            <w:r>
              <w:t xml:space="preserve">.</w:t>
            </w:r>
            <w:r/>
          </w:p>
          <w:p>
            <w:pPr>
              <w:pStyle w:val="1457"/>
              <w:numPr>
                <w:ilvl w:val="0"/>
                <w:numId w:val="31"/>
              </w:numPr>
              <w:contextualSpacing/>
              <w:ind w:left="0" w:firstLine="283"/>
              <w:jc w:val="both"/>
              <w:tabs>
                <w:tab w:val="left" w:pos="459" w:leader="none"/>
              </w:tabs>
              <w:rPr>
                <w:highlight w:val="white"/>
              </w:rPr>
            </w:pPr>
            <w:r>
              <w:t xml:space="preserve">должен иметь за последние 3 (три) года </w:t>
            </w:r>
            <w:r>
              <w:t xml:space="preserve">на дату размещения извещения о закупке на официальном сайте единой информационной системы в сфере закупок в информационно-телекоммуникационной сети Интернет опыт исполнения аналогичных договоров на общую сумму (без НДС) не менее 80% (восемьдесят процентов)</w:t>
            </w:r>
            <w:r>
              <w:t xml:space="preserve"> стоимости начальной </w:t>
            </w:r>
            <w:r>
              <w:t xml:space="preserve">(максимальной) цены договора (лота) (без </w:t>
            </w:r>
            <w:r>
              <w:rPr>
                <w:highlight w:val="white"/>
              </w:rPr>
              <w:t xml:space="preserve">НДС), установленной в настоящей информационной карте закупки.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b/>
                <w:bCs/>
                <w:i/>
                <w:highlight w:val="white"/>
                <w:u w:val="single"/>
              </w:rPr>
            </w:pPr>
            <w:r>
              <w:rPr>
                <w:b/>
                <w:highlight w:val="white"/>
              </w:rPr>
              <w:t xml:space="preserve">При этом аналогичными договорами будут признаны договоры на: </w:t>
            </w:r>
            <w:r>
              <w:rPr>
                <w:b/>
                <w:bCs/>
                <w:i/>
                <w:highlight w:val="white"/>
                <w:u w:val="single"/>
              </w:rPr>
            </w:r>
            <w:r>
              <w:rPr>
                <w:b/>
                <w:bCs/>
                <w:i/>
                <w:highlight w:val="white"/>
                <w:u w:val="single"/>
              </w:rPr>
            </w:r>
          </w:p>
          <w:p>
            <w:pPr>
              <w:pStyle w:val="1457"/>
              <w:numPr>
                <w:ilvl w:val="0"/>
                <w:numId w:val="32"/>
              </w:numPr>
              <w:contextualSpacing/>
              <w:ind w:left="0" w:firstLine="709"/>
              <w:jc w:val="both"/>
              <w:tabs>
                <w:tab w:val="left" w:pos="459" w:leader="none"/>
              </w:tabs>
            </w:pPr>
            <w:r>
              <w:t xml:space="preserve">Выполнение работ «под ключ» по строительству/реконструкции/ремонту объ</w:t>
            </w:r>
            <w:r>
              <w:t xml:space="preserve">ектов электросетевого хозяйства напряжением от 0,4 кВ до 15 кВ, мощностью от 1 до 150 кВт;</w:t>
            </w:r>
            <w:r/>
          </w:p>
          <w:p>
            <w:pPr>
              <w:pStyle w:val="1457"/>
              <w:numPr>
                <w:ilvl w:val="0"/>
                <w:numId w:val="32"/>
              </w:numPr>
              <w:contextualSpacing/>
              <w:ind w:left="0" w:firstLine="709"/>
              <w:jc w:val="both"/>
              <w:tabs>
                <w:tab w:val="left" w:pos="459" w:leader="none"/>
              </w:tabs>
            </w:pPr>
            <w:r>
              <w:t xml:space="preserve">Выполнение работ по проектированию объектов электросетевого хозяйства напряжением от 0,4 кВ до 15 кВ, мощностью от 1 до 150 кВт;</w:t>
            </w:r>
            <w:r/>
          </w:p>
          <w:p>
            <w:pPr>
              <w:pStyle w:val="1457"/>
              <w:numPr>
                <w:ilvl w:val="0"/>
                <w:numId w:val="32"/>
              </w:numPr>
              <w:contextualSpacing/>
              <w:ind w:left="0" w:firstLine="709"/>
              <w:jc w:val="both"/>
              <w:tabs>
                <w:tab w:val="left" w:pos="459" w:leader="none"/>
              </w:tabs>
            </w:pPr>
            <w:r>
              <w:t xml:space="preserve">Выполнение строительно-монтажных раб</w:t>
            </w:r>
            <w:r>
              <w:t xml:space="preserve">от по строительству/реконструкции/ремонту объектов электросетевого хозяйства напряжением от 0,4 кВ до 15 кВ, мощностью от 1 до 150 кВт.</w:t>
            </w:r>
            <w:r/>
          </w:p>
          <w:p>
            <w:pPr>
              <w:spacing w:after="0"/>
            </w:pPr>
            <w:r>
              <w:t xml:space="preserve">В рамках данного требования к учету будет принята стоимость выполненных работ по аналогичным договорам, которые завершен</w:t>
            </w:r>
            <w:r>
              <w:t xml:space="preserve">ы  за последние 3 (три) года на дату размещения извещения о закупке на официальном сайте единой информационной системы в сфере закупок в информационно-телекоммуникационной сети Интернет, отраженная в последней «Справке о стоимости выполненных работ и затра</w:t>
            </w:r>
            <w:r>
              <w:t xml:space="preserve">т» по форме КС-3 (в случае если в соответствии с условиями договора такая форма предусмотрена), либо в актах выполненных работ. </w:t>
            </w:r>
            <w:r/>
          </w:p>
          <w:p>
            <w:pPr>
              <w:pStyle w:val="143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расчета исключаются договоры, не являющиеся аналогичными, договоры, не исполненные на 100%, договоры, указанные в справке, по которым отсутствуют подтверждающие документы, а также договоры, не указанные в справке.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7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6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41" w:name="_Сведения_и"/>
            <w:r/>
            <w:bookmarkStart w:id="142" w:name="_Сведения_и_документы,"/>
            <w:r/>
            <w:bookmarkStart w:id="143" w:name="Par66"/>
            <w:r/>
            <w:bookmarkEnd w:id="141"/>
            <w:r/>
            <w:bookmarkEnd w:id="142"/>
            <w:r>
              <w:rPr>
                <w:rFonts w:ascii="Times New Roman" w:hAnsi="Times New Roman" w:cs="Times New Roman"/>
                <w:b w:val="0"/>
                <w:bCs w:val="0"/>
              </w:rPr>
              <w:t xml:space="preserve">Сведения и документы, входящие в состав заявки на участие </w:t>
            </w:r>
            <w:bookmarkEnd w:id="143"/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 состав </w:t>
            </w:r>
            <w:r>
              <w:rPr>
                <w:b/>
                <w:lang w:eastAsia="en-US"/>
              </w:rPr>
              <w:t xml:space="preserve">ценового предложения</w:t>
            </w:r>
            <w:r>
              <w:rPr>
                <w:lang w:eastAsia="en-US"/>
              </w:rPr>
              <w:t xml:space="preserve"> Участник должен включить следующие документы: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after="0"/>
              <w:widowControl w:val="off"/>
              <w:tabs>
                <w:tab w:val="left" w:pos="383" w:leader="none"/>
              </w:tabs>
              <w:rPr>
                <w:lang w:eastAsia="en-US"/>
              </w:rPr>
            </w:pPr>
            <w:r/>
            <w:hyperlink w:tooltip="#_ФОРМА_ТЕХН" w:anchor="_ФОРМА_Комм" w:history="1">
              <w:r>
                <w:rPr>
                  <w:rStyle w:val="1364"/>
                  <w:lang w:eastAsia="en-US"/>
                </w:rPr>
                <w:t xml:space="preserve">КОММЕРЧЕСКОЕ ПРЕДЛОЖЕНИЕ</w:t>
              </w:r>
            </w:hyperlink>
            <w:r>
              <w:rPr>
                <w:lang w:eastAsia="en-US"/>
              </w:rPr>
              <w:t xml:space="preserve"> по форме и в соответствии с инструкциями, приве</w:t>
            </w:r>
            <w:r>
              <w:rPr>
                <w:lang w:eastAsia="en-US"/>
              </w:rPr>
              <w:t xml:space="preserve">денными в настоящей документации о закупке (часть </w:t>
            </w:r>
            <w:hyperlink w:tooltip="#_III._ОБРАЗ" w:anchor="_III._ОБРАЗ" w:history="1">
              <w:r>
                <w:rPr>
                  <w:rStyle w:val="1364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lang w:eastAsia="en-US"/>
              </w:rPr>
              <w:t xml:space="preserve">).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after="0"/>
              <w:widowControl w:val="off"/>
              <w:tabs>
                <w:tab w:val="left" w:pos="383" w:leader="none"/>
                <w:tab w:val="left" w:pos="1418" w:leader="none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  <w:p>
            <w:pPr>
              <w:spacing w:after="0"/>
              <w:widowControl w:val="off"/>
              <w:tabs>
                <w:tab w:val="left" w:pos="383" w:leader="none"/>
                <w:tab w:val="left" w:pos="1418" w:leader="none"/>
              </w:tabs>
              <w:rPr>
                <w:bCs/>
                <w:color w:val="ff0000"/>
                <w:lang w:eastAsia="en-US"/>
              </w:rPr>
            </w:pPr>
            <w:r>
              <w:rPr>
                <w:b/>
                <w:bCs/>
                <w:color w:val="ff0000"/>
                <w:u w:val="single"/>
                <w:lang w:eastAsia="en-US"/>
              </w:rPr>
              <w:t xml:space="preserve">Примечание:</w:t>
            </w:r>
            <w:r>
              <w:rPr>
                <w:bCs/>
                <w:color w:val="ff0000"/>
                <w:lang w:eastAsia="en-US"/>
              </w:rPr>
              <w:t xml:space="preserve"> участник закупки в </w:t>
            </w:r>
            <w:hyperlink w:tooltip="#_ФОРМА_Коммерческое_предложение" w:anchor="_ФОРМА_Комм" w:history="1">
              <w:r>
                <w:rPr>
                  <w:rStyle w:val="1364"/>
                  <w:bCs/>
                  <w:lang w:eastAsia="en-US"/>
                </w:rPr>
                <w:t xml:space="preserve">КОММЕРЧЕСКОМ ПРЕДЛОЖЕНИИ</w:t>
              </w:r>
            </w:hyperlink>
            <w:r>
              <w:rPr>
                <w:bCs/>
                <w:color w:val="ff0000"/>
                <w:lang w:eastAsia="en-US"/>
              </w:rPr>
              <w:t xml:space="preserve"> должен указать предложение о коэффициенте </w:t>
            </w:r>
            <w:r>
              <w:rPr>
                <w:bCs/>
                <w:color w:val="ff0000"/>
                <w:lang w:eastAsia="en-US"/>
              </w:rPr>
              <w:t xml:space="preserve">понижения цены.</w:t>
            </w:r>
            <w:r>
              <w:rPr>
                <w:bCs/>
                <w:color w:val="ff0000"/>
                <w:lang w:eastAsia="en-US"/>
              </w:rPr>
            </w:r>
            <w:r>
              <w:rPr>
                <w:bCs/>
                <w:color w:val="ff0000"/>
                <w:lang w:eastAsia="en-US"/>
              </w:rPr>
            </w:r>
          </w:p>
          <w:p>
            <w:pPr>
              <w:spacing w:after="0"/>
              <w:widowControl w:val="off"/>
              <w:tabs>
                <w:tab w:val="left" w:pos="383" w:leader="none"/>
                <w:tab w:val="left" w:pos="1418" w:leader="none"/>
              </w:tabs>
              <w:rPr>
                <w:bCs/>
                <w:color w:val="ff0000"/>
                <w:lang w:eastAsia="en-US"/>
              </w:rPr>
            </w:pPr>
            <w:r>
              <w:rPr>
                <w:bCs/>
                <w:color w:val="ff0000"/>
                <w:lang w:eastAsia="en-US"/>
              </w:rPr>
              <w:t xml:space="preserve">При формировании ценовой части заявки участник закупки указывает в форме, заполняемой на ЭТП, условную итоговую стоимость заявки участника.</w:t>
            </w:r>
            <w:r>
              <w:rPr>
                <w:bCs/>
                <w:color w:val="ff0000"/>
                <w:lang w:eastAsia="en-US"/>
              </w:rPr>
            </w:r>
            <w:r>
              <w:rPr>
                <w:bCs/>
                <w:color w:val="ff0000"/>
                <w:lang w:eastAsia="en-US"/>
              </w:rPr>
            </w:r>
          </w:p>
          <w:p>
            <w:pPr>
              <w:pStyle w:val="1415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bCs/>
                <w:color w:val="ff0000"/>
                <w:lang w:eastAsia="en-US"/>
              </w:rPr>
              <w:t xml:space="preserve">При этом участник закупки загружа</w:t>
            </w:r>
            <w:r>
              <w:rPr>
                <w:bCs/>
                <w:color w:val="ff0000"/>
                <w:lang w:eastAsia="en-US"/>
              </w:rPr>
              <w:t xml:space="preserve">ет в ценовую часть заявки на ЭТП заполненный файл </w:t>
            </w:r>
            <w:hyperlink w:tooltip="#_ФОРМА_Коммерческое_предложение" w:anchor="_ФОРМА_Комм" w:history="1">
              <w:r>
                <w:rPr>
                  <w:rStyle w:val="1364"/>
                  <w:bCs/>
                  <w:lang w:eastAsia="en-US"/>
                </w:rPr>
                <w:t xml:space="preserve">КОММЕРЧЕСКОГО ПРЕДЛОЖЕНИЯ</w:t>
              </w:r>
            </w:hyperlink>
            <w:r>
              <w:rPr>
                <w:bCs/>
                <w:color w:val="ff0000"/>
                <w:lang w:eastAsia="en-US"/>
              </w:rPr>
              <w:t xml:space="preserve"> в редактируемом формате и в виде сканированного образа документа, подписанного уполномоченным лицом участника.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15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15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 состав </w:t>
            </w:r>
            <w:r>
              <w:rPr>
                <w:b/>
                <w:lang w:eastAsia="en-US"/>
              </w:rPr>
              <w:t xml:space="preserve">общей части заявки</w:t>
            </w:r>
            <w:r>
              <w:rPr>
                <w:lang w:eastAsia="en-US"/>
              </w:rPr>
              <w:t xml:space="preserve"> Участник должен включить следующие документы: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15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rStyle w:val="1364"/>
                <w:color w:val="auto"/>
                <w:u w:val="none"/>
                <w:lang w:eastAsia="en-US"/>
              </w:rPr>
            </w:pPr>
            <w:r>
              <w:rPr>
                <w:color w:val="auto"/>
                <w:u w:val="none"/>
                <w:lang w:eastAsia="en-US"/>
              </w:rPr>
            </w:r>
            <w:r>
              <w:rPr>
                <w:rStyle w:val="1364"/>
                <w:color w:val="auto"/>
                <w:u w:val="none"/>
                <w:lang w:eastAsia="en-US"/>
              </w:rPr>
            </w:r>
            <w:r>
              <w:rPr>
                <w:rStyle w:val="1364"/>
                <w:color w:val="auto"/>
                <w:u w:val="none"/>
                <w:lang w:eastAsia="en-US"/>
              </w:rPr>
            </w:r>
          </w:p>
          <w:p>
            <w:pPr>
              <w:pStyle w:val="1415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/>
            <w:hyperlink w:tooltip="#_ФОРМА_ТЕХН" w:anchor="_ФОРМА_ТЕХН" w:history="1">
              <w:r>
                <w:rPr>
                  <w:rStyle w:val="1364"/>
                  <w:lang w:eastAsia="en-US"/>
                </w:rPr>
                <w:t xml:space="preserve">ТЕХНИЧЕСКОЕ ПРЕДЛОЖЕНИЕ</w:t>
              </w:r>
            </w:hyperlink>
            <w:r>
              <w:rPr>
                <w:lang w:eastAsia="en-US"/>
              </w:rPr>
              <w:t xml:space="preserve"> по форме и в соответствии с инструкциями, приведенными в настоящей документации о закупке (часть </w:t>
            </w:r>
            <w:hyperlink w:tooltip="#_III._ОБРАЗ" w:anchor="_III._ОБРАЗ" w:history="1">
              <w:r>
                <w:rPr>
                  <w:rStyle w:val="1364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lang w:eastAsia="en-US"/>
              </w:rPr>
              <w:t xml:space="preserve">);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15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</w:pPr>
            <w:r/>
            <w:hyperlink w:tooltip="#_ФОРМА_Письмо_о" w:anchor="_ФОРМА_Пись" w:history="1">
              <w:r>
                <w:rPr>
                  <w:rStyle w:val="1364"/>
                  <w:lang w:eastAsia="en-US"/>
                </w:rPr>
                <w:t xml:space="preserve">ПИСЬМО О ПОДАЧЕ ОФЕРТЫ</w:t>
              </w:r>
            </w:hyperlink>
            <w:r>
              <w:rPr>
                <w:rStyle w:val="1364"/>
                <w:color w:val="auto"/>
                <w:u w:val="none"/>
                <w:lang w:eastAsia="en-US"/>
              </w:rPr>
              <w:t xml:space="preserve"> по форме и в соответствии с инструкциями, приведенными в настоящей документац</w:t>
            </w:r>
            <w:r>
              <w:rPr>
                <w:rStyle w:val="1364"/>
                <w:color w:val="auto"/>
                <w:u w:val="none"/>
                <w:lang w:eastAsia="en-US"/>
              </w:rPr>
              <w:t xml:space="preserve">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364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364"/>
                <w:color w:val="auto"/>
                <w:u w:val="none"/>
                <w:lang w:eastAsia="en-US"/>
              </w:rPr>
              <w:t xml:space="preserve">)</w:t>
            </w:r>
            <w:r>
              <w:t xml:space="preserve">;</w:t>
            </w:r>
            <w:r/>
          </w:p>
          <w:p>
            <w:pPr>
              <w:pStyle w:val="1415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Документы (приказы, протоколы собрания учредителей о назначении руководителя и т.д.), подтверждающие полномочия лица, подписавшего </w:t>
            </w:r>
            <w:r>
              <w:rPr>
                <w:lang w:eastAsia="en-US"/>
              </w:rPr>
              <w:t xml:space="preserve">Заявку, а также его право на заключение соответствующего Договора по результатам закупки. Если Заявка подписывается по доверенности, предоставляется такая доверенность и вышеуказанные документы на лицо, выдавшее доверенность;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15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Выписка из Единого государстве</w:t>
            </w:r>
            <w:r>
              <w:rPr>
                <w:lang w:eastAsia="en-US"/>
              </w:rPr>
              <w:t xml:space="preserve">нного реестра юридических лиц (ЕГРЮЛ) (либо выписка из Единого государственного реестра индивидуальных предпринимателей (ЕГРИП) для индивидуальных предпринимателей), выданная соответствующим подразделением Министерства Российской Федерации по налогом и сбо</w:t>
            </w:r>
            <w:r>
              <w:rPr>
                <w:lang w:eastAsia="en-US"/>
              </w:rPr>
              <w:t xml:space="preserve">рам </w:t>
            </w:r>
            <w:r>
              <w:rPr>
                <w:b/>
                <w:bCs/>
                <w:lang w:eastAsia="en-US"/>
              </w:rPr>
              <w:t xml:space="preserve">не ранее чем за 60 (шестьдесят) календарных дней до срока окончания приема Заявок</w:t>
            </w:r>
            <w:r>
              <w:rPr>
                <w:lang w:eastAsia="en-US"/>
              </w:rPr>
              <w:t xml:space="preserve">. Участник так же может предоставить  выписку из ЕГРЮЛ / ЕГРИП  подписанную усиленной квалифицированной электронной цифровой </w:t>
            </w:r>
            <w:r>
              <w:rPr>
                <w:lang w:eastAsia="en-US"/>
              </w:rPr>
              <w:t xml:space="preserve">подписью налогового органа, и сформированную, </w:t>
            </w:r>
            <w:r>
              <w:rPr>
                <w:lang w:eastAsia="en-US"/>
              </w:rPr>
              <w:t xml:space="preserve">не ранее, чем за 60 (шестьдесят) календарных  дней до срока окончания приема Заявок, с использованием сервиса «Предоставление сведений из ЕГРЮЛ / ЕГРИП о конкретном юридическом лице/индивидуальном предпринимателе в форме электронного  документа», размещенн</w:t>
            </w:r>
            <w:r>
              <w:rPr>
                <w:lang w:eastAsia="en-US"/>
              </w:rPr>
              <w:t xml:space="preserve">ого на официальном сайте ФНС России в сети Интернет по адресу </w:t>
            </w:r>
            <w:hyperlink r:id="rId53" w:tooltip="https://service.nalog.ru/vyp/" w:history="1">
              <w:r>
                <w:rPr>
                  <w:rStyle w:val="1364"/>
                  <w:lang w:eastAsia="en-US"/>
                </w:rPr>
                <w:t xml:space="preserve">https://service.nalog.ru/vyp/</w:t>
              </w:r>
            </w:hyperlink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15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Устав в действующей редакции со всеми изменениями и дополнениями;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15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bCs/>
                <w:i/>
                <w:lang w:eastAsia="en-US"/>
              </w:rPr>
            </w:pPr>
            <w:r/>
            <w:hyperlink w:tooltip="#_ФОРМА_ПЛАН_РАСПРЕДЕЛЕНИЯ" w:anchor="_ФОРМА_План" w:history="1">
              <w:r>
                <w:rPr>
                  <w:rStyle w:val="1364"/>
                  <w:lang w:eastAsia="en-US"/>
                </w:rPr>
                <w:t xml:space="preserve">ПЛАН РАСПРЕДЕЛЕНИЯ ОБЪЕМОВ МЕЖДУ ЧЛЕНАМИ КОЛЛЕКТИВНОГО УЧАСТНИКА (КОНСОРЦИУМА, ПРОСТОГО ТОВАРИЩЕСТВА)</w:t>
              </w:r>
            </w:hyperlink>
            <w:r>
              <w:rPr>
                <w:lang w:eastAsia="en-US"/>
              </w:rPr>
              <w:t xml:space="preserve"> по форме и в соответствии с инструкциями, приведенными в настоящей документации о закупке (часть </w:t>
            </w:r>
            <w:hyperlink w:tooltip="#_III._ОБРАЗ" w:anchor="_III._ОБРАЗ" w:history="1">
              <w:r>
                <w:rPr>
                  <w:rStyle w:val="1364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lang w:eastAsia="en-US"/>
              </w:rPr>
              <w:t xml:space="preserve">)</w:t>
            </w:r>
            <w:r>
              <w:rPr>
                <w:i/>
                <w:lang w:eastAsia="en-US"/>
              </w:rPr>
              <w:t xml:space="preserve"> (Предоставляется в случае участия в закупке Коллективного участника, отсутствие указанного документа в составе заявки означает, что коллективный участник не прини</w:t>
            </w:r>
            <w:r>
              <w:rPr>
                <w:i/>
                <w:lang w:eastAsia="en-US"/>
              </w:rPr>
              <w:t xml:space="preserve">мает участие в закупке);</w:t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  <w:p>
            <w:pPr>
              <w:pStyle w:val="1415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/>
            <w:hyperlink w:tooltip="#_ФОРМА_Анкета_участника" w:anchor="_ФОРМА_Анке" w:history="1">
              <w:r>
                <w:rPr>
                  <w:rStyle w:val="1364"/>
                  <w:lang w:eastAsia="en-US"/>
                </w:rPr>
                <w:t xml:space="preserve">АНКЕТА УЧАСТНИКА ЗАКУПКИ</w:t>
              </w:r>
            </w:hyperlink>
            <w:r>
              <w:rPr>
                <w:rStyle w:val="1364"/>
                <w:color w:val="auto"/>
                <w:u w:val="none"/>
                <w:lang w:eastAsia="en-US"/>
              </w:rPr>
              <w:t xml:space="preserve"> 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364"/>
                  <w:lang w:eastAsia="en-US"/>
                </w:rPr>
                <w:t xml:space="preserve">III «ОБРАЗЦЫ ФОРМ ДЛЯ ЗАПОЛНЕН</w:t>
              </w:r>
              <w:r>
                <w:rPr>
                  <w:rStyle w:val="1364"/>
                  <w:lang w:eastAsia="en-US"/>
                </w:rPr>
                <w:t xml:space="preserve">ИЯ УЧАСТНИКАМИ ЗАКУПКИ»</w:t>
              </w:r>
            </w:hyperlink>
            <w:r>
              <w:rPr>
                <w:lang w:eastAsia="en-US"/>
              </w:rPr>
              <w:t xml:space="preserve">);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15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bCs/>
                <w:i/>
                <w:lang w:eastAsia="en-US"/>
              </w:rPr>
            </w:pPr>
            <w:r>
              <w:rPr>
                <w:lang w:eastAsia="en-US"/>
              </w:rPr>
              <w:t xml:space="preserve">Сведения из Единого реестра субъектов малого и среднего предпринимательства, подтверждающие отнесение Участника к субъектам МСП, ведение которого осуществляется в соответствии с Федеральным законом 24.07.2007 № 209-ФЗ «О развитии </w:t>
            </w:r>
            <w:r>
              <w:rPr>
                <w:lang w:eastAsia="en-US"/>
              </w:rPr>
              <w:t xml:space="preserve">малого и среднего предпринимательства» </w:t>
            </w:r>
            <w:r>
              <w:rPr>
                <w:i/>
                <w:lang w:eastAsia="en-US"/>
              </w:rPr>
              <w:t xml:space="preserve">(предоставляется в случае, если Участник является субъектом малого или среднего предпринимательства);</w:t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  <w:p>
            <w:pPr>
              <w:pStyle w:val="1415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</w:pPr>
            <w:r>
              <w:rPr>
                <w:rFonts w:eastAsia="Calibri"/>
                <w:lang w:eastAsia="en-US"/>
              </w:rPr>
              <w:t xml:space="preserve">Справка об исполнении налогоплательщиком (плательщиком сбора, плательщиком страховых взносов, налоговым агентом) об</w:t>
            </w:r>
            <w:r>
              <w:rPr>
                <w:rFonts w:eastAsia="Calibri"/>
                <w:lang w:eastAsia="en-US"/>
              </w:rPr>
              <w:t xml:space="preserve">язанности по уплате налогов, сборов, страховых взносов, пеней, штрафов, процентов (</w:t>
            </w:r>
            <w:r>
              <w:rPr>
                <w:rFonts w:eastAsia="Calibri"/>
                <w:b/>
                <w:bCs/>
                <w:lang w:eastAsia="en-US"/>
              </w:rPr>
              <w:t xml:space="preserve">Форма по КНД 1120101</w:t>
            </w:r>
            <w:r>
              <w:rPr>
                <w:rFonts w:eastAsia="Calibri"/>
                <w:lang w:eastAsia="en-US"/>
              </w:rPr>
              <w:t xml:space="preserve">)</w:t>
            </w:r>
            <w:r>
              <w:rPr>
                <w:rFonts w:eastAsia="Calibri"/>
              </w:rPr>
              <w:t xml:space="preserve"> полученная </w:t>
            </w:r>
            <w:r>
              <w:rPr>
                <w:b/>
                <w:bCs/>
              </w:rPr>
              <w:t xml:space="preserve">не ранее чем за 60 (шестьдесят) дней до срока окончания подачи заявок</w:t>
            </w:r>
            <w:r>
              <w:rPr>
                <w:rFonts w:eastAsia="Calibri"/>
              </w:rPr>
              <w:t xml:space="preserve">*.</w:t>
            </w:r>
            <w:r/>
          </w:p>
          <w:p>
            <w:pPr>
              <w:pStyle w:val="1415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rFonts w:eastAsia="Calibri"/>
                <w:i/>
                <w:iCs/>
                <w:lang w:eastAsia="en-US"/>
              </w:rPr>
            </w:pPr>
            <w:r>
              <w:rPr>
                <w:rFonts w:eastAsia="Calibri"/>
                <w:i/>
                <w:iCs/>
                <w:lang w:eastAsia="en-US"/>
              </w:rPr>
              <w:t xml:space="preserve">*В случае наличия в предоставленной Сп</w:t>
            </w:r>
            <w:r>
              <w:rPr>
                <w:rFonts w:eastAsia="Calibri"/>
                <w:i/>
                <w:iCs/>
                <w:lang w:eastAsia="en-US"/>
              </w:rPr>
              <w:t xml:space="preserve">равке об исполнении налогоплательщиком (плательщиком сбора, плательщиком </w:t>
            </w:r>
            <w:r>
              <w:rPr>
                <w:rFonts w:eastAsia="Calibri"/>
                <w:i/>
                <w:iCs/>
                <w:lang w:eastAsia="en-US"/>
              </w:rPr>
              <w:t xml:space="preserve">страховых взносов, налоговым агентом) обязанности по уплате налогов, сборов, страховых взносов, пеней, штрафов, процентов (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Форма по КНД 1120101</w:t>
            </w:r>
            <w:r>
              <w:rPr>
                <w:rFonts w:eastAsia="Calibri"/>
                <w:i/>
                <w:iCs/>
                <w:lang w:eastAsia="en-US"/>
              </w:rPr>
              <w:t xml:space="preserve">) информации об имеющейся задолженности,</w:t>
            </w:r>
            <w:r>
              <w:rPr>
                <w:rFonts w:eastAsia="Calibri"/>
                <w:i/>
                <w:iCs/>
                <w:lang w:eastAsia="en-US"/>
              </w:rPr>
              <w:t xml:space="preserve"> участник в обязательном порядке должен предоставить справку о наличии на дату формирования справки положительного, отрицательного или нулевого сальдо единого налогового счета налогоплательщика, плательщика сбора, плательщика страховых взносов или налогово</w:t>
            </w:r>
            <w:r>
              <w:rPr>
                <w:rFonts w:eastAsia="Calibri"/>
                <w:i/>
                <w:iCs/>
                <w:lang w:eastAsia="en-US"/>
              </w:rPr>
              <w:t xml:space="preserve">го агента (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Форма по КНД </w:t>
            </w:r>
            <w:r>
              <w:rPr>
                <w:rFonts w:eastAsia="Calibri"/>
                <w:b/>
                <w:bCs/>
                <w:lang w:eastAsia="en-US"/>
              </w:rPr>
              <w:t xml:space="preserve">1160082</w:t>
            </w:r>
            <w:r>
              <w:rPr>
                <w:rFonts w:eastAsia="Calibri"/>
                <w:i/>
                <w:iCs/>
                <w:lang w:eastAsia="en-US"/>
              </w:rPr>
              <w:t xml:space="preserve">),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полученную не позднее чем за 60 (шестьдесят) дней до срока окончания подачи заявок</w:t>
            </w:r>
            <w:r>
              <w:rPr>
                <w:rFonts w:eastAsia="Calibri"/>
                <w:i/>
                <w:iCs/>
                <w:lang w:eastAsia="en-US"/>
              </w:rPr>
              <w:t xml:space="preserve">.</w:t>
            </w:r>
            <w:r>
              <w:rPr>
                <w:rFonts w:eastAsia="Calibri"/>
                <w:i/>
                <w:iCs/>
                <w:lang w:eastAsia="en-US"/>
              </w:rPr>
            </w:r>
            <w:r>
              <w:rPr>
                <w:rFonts w:eastAsia="Calibri"/>
                <w:i/>
                <w:iCs/>
                <w:lang w:eastAsia="en-US"/>
              </w:rPr>
            </w:r>
          </w:p>
          <w:p>
            <w:pPr>
              <w:pStyle w:val="1415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Вышеуказанные справки должны быть предоставлены одним из следующих форматов: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57"/>
              <w:numPr>
                <w:ilvl w:val="0"/>
                <w:numId w:val="34"/>
              </w:numPr>
              <w:ind w:left="0" w:firstLine="349"/>
              <w:jc w:val="both"/>
            </w:pPr>
            <w:r>
              <w:t xml:space="preserve">в форме электронного документа, подписанного усиленной квалиф</w:t>
            </w:r>
            <w:r>
              <w:t xml:space="preserve">ицированной электронной подписью налогового органа в порядке, установленном законодательством РФ.  При этом участник прикладывает архив, содержащий саму справку и файл, содержащий сведения о подписи;</w:t>
            </w:r>
            <w:r/>
          </w:p>
          <w:p>
            <w:pPr>
              <w:pStyle w:val="1457"/>
              <w:numPr>
                <w:ilvl w:val="0"/>
                <w:numId w:val="34"/>
              </w:numPr>
              <w:ind w:left="0" w:firstLine="349"/>
              <w:jc w:val="both"/>
            </w:pPr>
            <w:r>
              <w:t xml:space="preserve">в форме электронного документа, выгруженного через ЭДО с</w:t>
            </w:r>
            <w:r>
              <w:t xml:space="preserve"> нанесенными на него сведениями о цифровой подписи налогового органа и о цифровой подписи Участника;</w:t>
            </w:r>
            <w:r/>
          </w:p>
          <w:p>
            <w:pPr>
              <w:pStyle w:val="1457"/>
              <w:numPr>
                <w:ilvl w:val="0"/>
                <w:numId w:val="34"/>
              </w:numPr>
              <w:ind w:left="0" w:firstLine="349"/>
              <w:jc w:val="both"/>
            </w:pPr>
            <w:r>
              <w:t xml:space="preserve">в форме копии с круглой печатью соответствующего подразделения ФНС, выдавшего справку.</w:t>
            </w:r>
            <w:r/>
          </w:p>
          <w:p>
            <w:pPr>
              <w:pStyle w:val="1415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</w:pPr>
            <w:r>
              <w:t xml:space="preserve">Документы, подтверждающие финансовую устойчивость участника закупки:</w:t>
            </w:r>
            <w:r/>
          </w:p>
          <w:p>
            <w:pPr>
              <w:pStyle w:val="1415"/>
              <w:numPr>
                <w:ilvl w:val="0"/>
                <w:numId w:val="35"/>
              </w:numPr>
              <w:ind w:left="0" w:firstLine="283"/>
              <w:tabs>
                <w:tab w:val="left" w:pos="383" w:leader="none"/>
              </w:tabs>
            </w:pPr>
            <w:r>
              <w:rPr>
                <w:i/>
                <w:iCs/>
              </w:rPr>
              <w:t xml:space="preserve">Для обычной системы налогообложения</w:t>
            </w:r>
            <w:r>
              <w:t xml:space="preserve">:</w:t>
            </w:r>
            <w:r/>
          </w:p>
          <w:p>
            <w:pPr>
              <w:pStyle w:val="1415"/>
              <w:numPr>
                <w:ilvl w:val="0"/>
                <w:numId w:val="36"/>
              </w:numPr>
              <w:ind w:left="0" w:firstLine="349"/>
              <w:tabs>
                <w:tab w:val="left" w:pos="383" w:leader="none"/>
              </w:tabs>
            </w:pPr>
            <w:r>
              <w:t xml:space="preserve">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учете»;</w:t>
            </w:r>
            <w:r/>
          </w:p>
          <w:p>
            <w:pPr>
              <w:pStyle w:val="1415"/>
              <w:numPr>
                <w:ilvl w:val="0"/>
                <w:numId w:val="35"/>
              </w:numPr>
              <w:ind w:left="0" w:firstLine="283"/>
              <w:tabs>
                <w:tab w:val="left" w:pos="383" w:leader="none"/>
              </w:tabs>
            </w:pPr>
            <w:r>
              <w:rPr>
                <w:i/>
                <w:iCs/>
              </w:rPr>
              <w:t xml:space="preserve">Для упрощенной сис</w:t>
            </w:r>
            <w:r>
              <w:rPr>
                <w:i/>
                <w:iCs/>
              </w:rPr>
              <w:t xml:space="preserve">темы налогообложения</w:t>
            </w:r>
            <w:r>
              <w:t xml:space="preserve">:</w:t>
            </w:r>
            <w:r/>
          </w:p>
          <w:p>
            <w:pPr>
              <w:pStyle w:val="1415"/>
              <w:numPr>
                <w:ilvl w:val="0"/>
                <w:numId w:val="37"/>
              </w:numPr>
              <w:ind w:left="0" w:firstLine="349"/>
              <w:tabs>
                <w:tab w:val="left" w:pos="383" w:leader="none"/>
              </w:tabs>
            </w:pPr>
            <w:r>
              <w:t xml:space="preserve">копии Налоговой декларации по налогу, уплачиваемому в связи с применением упрощенной системы налогообложения за последний отчетный год;</w:t>
            </w:r>
            <w:r/>
          </w:p>
          <w:p>
            <w:pPr>
              <w:pStyle w:val="1415"/>
              <w:numPr>
                <w:ilvl w:val="0"/>
                <w:numId w:val="37"/>
              </w:numPr>
              <w:ind w:left="0" w:firstLine="349"/>
              <w:tabs>
                <w:tab w:val="left" w:pos="383" w:leader="none"/>
              </w:tabs>
            </w:pPr>
            <w:r>
              <w:t xml:space="preserve">заявление о переходе на упрощенную систему налогообложения.</w:t>
            </w:r>
            <w:r/>
          </w:p>
          <w:p>
            <w:pPr>
              <w:pStyle w:val="1415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rStyle w:val="1364"/>
                <w:color w:val="auto"/>
                <w:u w:val="none"/>
                <w:lang w:eastAsia="en-US"/>
              </w:rPr>
            </w:pPr>
            <w:r/>
            <w:hyperlink w:tooltip="#_ФОРМА_8._Декларация" w:anchor="_ФОРМА_Спра" w:history="1">
              <w:r>
                <w:rPr>
                  <w:rStyle w:val="1364"/>
                  <w:lang w:eastAsia="en-US"/>
                </w:rPr>
                <w:t xml:space="preserve">СПРАВКА О НАЛИЧИИ КОНФЛИКТА ИНТЕРЕСОВ И/ИЛИ СВЯЗЕЙ, НОСЯЩИХ ХАРАКТЕР АФФИЛИРОВАННОСТИ С СОТРУДНИКАМИ ЗАКАЗЧИКА ИЛИ ОРГАНИЗАТОРА ЗАКУПКИ</w:t>
              </w:r>
            </w:hyperlink>
            <w:r>
              <w:rPr>
                <w:rStyle w:val="1364"/>
                <w:color w:val="auto"/>
                <w:u w:val="none"/>
                <w:lang w:eastAsia="en-US"/>
              </w:rPr>
              <w:t xml:space="preserve"> 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364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364"/>
                <w:color w:val="auto"/>
                <w:u w:val="none"/>
                <w:lang w:eastAsia="en-US"/>
              </w:rPr>
              <w:t xml:space="preserve">);</w:t>
            </w:r>
            <w:r>
              <w:rPr>
                <w:rStyle w:val="1364"/>
                <w:color w:val="auto"/>
                <w:u w:val="none"/>
                <w:lang w:eastAsia="en-US"/>
              </w:rPr>
            </w:r>
            <w:r>
              <w:rPr>
                <w:rStyle w:val="1364"/>
                <w:color w:val="auto"/>
                <w:u w:val="none"/>
                <w:lang w:eastAsia="en-US"/>
              </w:rPr>
            </w:r>
          </w:p>
          <w:p>
            <w:pPr>
              <w:pStyle w:val="1415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color w:val="000000" w:themeColor="text1"/>
              </w:rPr>
            </w:pPr>
            <w:r/>
            <w:hyperlink w:tooltip="#_ФОРМА_Справка_(информация)" w:anchor="_ФОРМА_Спра_1" w:history="1">
              <w:r>
                <w:rPr>
                  <w:rStyle w:val="1364"/>
                  <w:lang w:eastAsia="en-US"/>
                </w:rPr>
                <w:t xml:space="preserve">СПРАВКА (ИНФОРМАЦИЯ) О СОБСТВЕННИКАХ УЧАСТНИКА ЗАКУПКИ (ВКЛЮЧАЯ КОНЕЧНЫХ БЕНЕФИЦИАРОВ)</w:t>
              </w:r>
            </w:hyperlink>
            <w:r>
              <w:rPr>
                <w:lang w:eastAsia="en-US"/>
              </w:rPr>
              <w:t xml:space="preserve"> </w:t>
            </w:r>
            <w:r>
              <w:rPr>
                <w:rStyle w:val="1364"/>
                <w:color w:val="auto"/>
                <w:u w:val="none"/>
                <w:lang w:eastAsia="en-US"/>
              </w:rPr>
              <w:t xml:space="preserve">по форме, установленной в насто</w:t>
            </w:r>
            <w:r>
              <w:rPr>
                <w:rStyle w:val="1364"/>
                <w:color w:val="auto"/>
                <w:u w:val="none"/>
                <w:lang w:eastAsia="en-US"/>
              </w:rPr>
              <w:t xml:space="preserve">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364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364"/>
                <w:color w:val="auto"/>
                <w:u w:val="none"/>
                <w:lang w:eastAsia="en-US"/>
              </w:rPr>
              <w:t xml:space="preserve">);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415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color w:val="000000" w:themeColor="text1"/>
              </w:rPr>
            </w:pPr>
            <w:r/>
            <w:hyperlink w:tooltip="#_ФОРМА_Согласие_на" w:anchor="_ФОРМА_Согл" w:history="1">
              <w:r>
                <w:rPr>
                  <w:rStyle w:val="1364"/>
                  <w:lang w:eastAsia="en-US"/>
                </w:rPr>
                <w:t xml:space="preserve">СОГЛАСИЕ НА ОБРАБОТКУ ПЕ</w:t>
              </w:r>
              <w:r>
                <w:rPr>
                  <w:rStyle w:val="1364"/>
                  <w:lang w:eastAsia="en-US"/>
                </w:rPr>
                <w:t xml:space="preserve">РСОНАЛЬНЫХ ДАННЫХ ОТ СОБСТВЕННИКОВ УЧАСТНИКА (ВКЛЮЧАЯ КОНЕЧНЫХ БЕНЕФИЦИАРОВ)</w:t>
              </w:r>
            </w:hyperlink>
            <w:r>
              <w:rPr>
                <w:rStyle w:val="1364"/>
                <w:color w:val="auto"/>
                <w:u w:val="none"/>
                <w:lang w:eastAsia="en-US"/>
              </w:rPr>
              <w:t xml:space="preserve"> 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364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364"/>
                <w:color w:val="auto"/>
                <w:u w:val="none"/>
                <w:lang w:eastAsia="en-US"/>
              </w:rPr>
              <w:t xml:space="preserve">);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415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rStyle w:val="1364"/>
                <w:color w:val="auto"/>
                <w:u w:val="none"/>
                <w:lang w:eastAsia="en-US"/>
              </w:rPr>
            </w:pPr>
            <w:r/>
            <w:hyperlink w:tooltip="#_ФОРМА_Антикоррупционные_обязательст" w:anchor="_ФОРМА_Анти" w:history="1">
              <w:r>
                <w:rPr>
                  <w:rStyle w:val="1364"/>
                  <w:lang w:eastAsia="en-US"/>
                </w:rPr>
                <w:t xml:space="preserve">АНТИКОРРУПЦИОННЫЕ ОБЯЗАТЕЛЬСТВА</w:t>
              </w:r>
            </w:hyperlink>
            <w:r>
              <w:rPr>
                <w:rStyle w:val="1364"/>
                <w:color w:val="auto"/>
                <w:u w:val="none"/>
                <w:lang w:eastAsia="en-US"/>
              </w:rPr>
              <w:t xml:space="preserve"> 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364"/>
                  <w:lang w:eastAsia="en-US"/>
                </w:rPr>
                <w:t xml:space="preserve">III «ОБРАЗЦЫ ФОРМ ДЛЯ ЗАПОЛНЕНИЯ УЧАСТНИКАМ</w:t>
              </w:r>
              <w:r>
                <w:rPr>
                  <w:rStyle w:val="1364"/>
                  <w:lang w:eastAsia="en-US"/>
                </w:rPr>
                <w:t xml:space="preserve">И ЗАКУПКИ»</w:t>
              </w:r>
            </w:hyperlink>
            <w:r>
              <w:rPr>
                <w:rStyle w:val="1364"/>
                <w:color w:val="auto"/>
                <w:u w:val="none"/>
                <w:lang w:eastAsia="en-US"/>
              </w:rPr>
              <w:t xml:space="preserve">);</w:t>
            </w:r>
            <w:r>
              <w:rPr>
                <w:rStyle w:val="1364"/>
                <w:color w:val="auto"/>
                <w:u w:val="none"/>
                <w:lang w:eastAsia="en-US"/>
              </w:rPr>
            </w:r>
            <w:r>
              <w:rPr>
                <w:rStyle w:val="1364"/>
                <w:color w:val="auto"/>
                <w:u w:val="none"/>
                <w:lang w:eastAsia="en-US"/>
              </w:rPr>
            </w:r>
          </w:p>
          <w:p>
            <w:pPr>
              <w:pStyle w:val="1415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Документы и сведения, подтверждающие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 указ</w:t>
            </w:r>
            <w:r>
              <w:rPr>
                <w:lang w:eastAsia="en-US"/>
              </w:rPr>
              <w:t xml:space="preserve">анные в пункте </w:t>
            </w:r>
            <w:hyperlink w:tooltip="#_Документы,_подтверждающие_соответст" w:anchor="_Документы," w:history="1">
              <w:r>
                <w:rPr>
                  <w:rStyle w:val="1364"/>
                  <w:lang w:eastAsia="en-US"/>
                </w:rPr>
                <w:t xml:space="preserve">18 части II «ИНФОРМАЦИОННАЯ КАРТА ЗАКУПКИ»</w:t>
              </w:r>
            </w:hyperlink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15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Документы и сведения, подтверждающие соответствие иным отборочным критериям установленным в соответствии с   Приложением 1 </w:t>
            </w:r>
            <w:r>
              <w:rPr>
                <w:lang w:eastAsia="en-US"/>
              </w:rPr>
              <w:t xml:space="preserve">к «Типовым требованиям к участникам закупок, критериям и порядку оценки  заявок участников закупок» Единого стандарта ПАО «Россети» указанные в пункте </w:t>
            </w:r>
            <w:hyperlink w:tooltip="#_Документы_и_сведения," w:anchor="_Документы_" w:history="1">
              <w:r>
                <w:rPr>
                  <w:rStyle w:val="1364"/>
                </w:rPr>
                <w:t xml:space="preserve">19 части II «ИНФОРМАЦИОННАЯ КАРТА ЗАКУПКИ»</w:t>
              </w:r>
            </w:hyperlink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15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Д</w:t>
            </w:r>
            <w:r>
              <w:rPr>
                <w:lang w:eastAsia="en-US"/>
              </w:rPr>
              <w:t xml:space="preserve">окументы и сведения, необходимые для оценки заявки по неценовым критериям указанные в пункте </w:t>
            </w:r>
            <w:hyperlink w:tooltip="#_Документы_и_сведения,_1" w:anchor="_Документы__1" w:history="1">
              <w:r>
                <w:rPr>
                  <w:rStyle w:val="1364"/>
                  <w:lang w:eastAsia="en-US"/>
                </w:rPr>
                <w:t xml:space="preserve">20 части II «ИНФОРМАЦИОННАЯ КАРТА ЗАКУПКИ»</w:t>
              </w:r>
            </w:hyperlink>
            <w:r>
              <w:rPr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(непредставление указанных документов и сведений не явля</w:t>
            </w:r>
            <w:r>
              <w:rPr>
                <w:i/>
                <w:lang w:eastAsia="en-US"/>
              </w:rPr>
              <w:t xml:space="preserve">ется основанием для отклонения заявки)</w:t>
            </w:r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15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 случае участия в закупке коллективного участника, заявка также должна содержать документы и сведения, предусмотренные пунктами </w:t>
            </w:r>
            <w:hyperlink w:tooltip="#_В_случае,_если" w:anchor="_3.4.5._В_с" w:history="1">
              <w:r>
                <w:rPr>
                  <w:rStyle w:val="1364"/>
                  <w:lang w:eastAsia="en-US"/>
                </w:rPr>
                <w:t xml:space="preserve">3.4.5</w:t>
              </w:r>
            </w:hyperlink>
            <w:r>
              <w:rPr>
                <w:lang w:eastAsia="en-US"/>
              </w:rPr>
              <w:t xml:space="preserve">, </w:t>
            </w:r>
            <w:hyperlink w:tooltip="#_В_случае,_если_1" w:anchor="_3.4.6._В_с" w:history="1">
              <w:r>
                <w:rPr>
                  <w:rStyle w:val="1364"/>
                  <w:lang w:eastAsia="en-US"/>
                </w:rPr>
                <w:t xml:space="preserve">3.4.6</w:t>
              </w:r>
            </w:hyperlink>
            <w:r>
              <w:rPr>
                <w:rStyle w:val="1364"/>
                <w:u w:val="none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настоящей документации о закупке;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15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Платежное поручение, подтверждающие факт перечисления денежных средств, внесенных на счет Заказчика в качестве обеспечения заявки на участие в закупке </w:t>
            </w:r>
            <w:r>
              <w:rPr>
                <w:bCs/>
                <w:i/>
                <w:lang w:eastAsia="en-US"/>
              </w:rPr>
              <w:t xml:space="preserve">(предоставляется в случае выбора Учас</w:t>
            </w:r>
            <w:r>
              <w:rPr>
                <w:bCs/>
                <w:i/>
                <w:lang w:eastAsia="en-US"/>
              </w:rPr>
              <w:t xml:space="preserve">тником закупки обеспечения заявки в форме внесения денежных средств на счёт Заказчика)</w:t>
            </w:r>
            <w:r>
              <w:rPr>
                <w:bCs/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15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Независимая гарантия по обеспечению заявки на участие в закупке в соответствии с частью </w:t>
            </w:r>
            <w:hyperlink w:tooltip="#_Типовые_формы_независимых" w:anchor="_VII._ТИПОВ" w:history="1">
              <w:r>
                <w:rPr>
                  <w:rStyle w:val="1364"/>
                  <w:lang w:eastAsia="en-US"/>
                </w:rPr>
                <w:t xml:space="preserve">VII «ТИПОВЫЕ ФОРМЫ НЕЗАВИСИМЫХ ГАРАНТИЙ»</w:t>
              </w:r>
            </w:hyperlink>
            <w:r>
              <w:rPr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(предоставляется в случае выбора Участником закупки обеспечения заявки в форме независимой гарантии)</w:t>
            </w:r>
            <w:r>
              <w:rPr>
                <w:lang w:eastAsia="en-US"/>
              </w:rPr>
              <w:t xml:space="preserve">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7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6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44" w:name="_Документы,"/>
            <w:r/>
            <w:bookmarkStart w:id="145" w:name="_Соответствие_требованиям,_установле"/>
            <w:r/>
            <w:bookmarkEnd w:id="144"/>
            <w:r/>
            <w:bookmarkEnd w:id="145"/>
            <w:r>
              <w:rPr>
                <w:rFonts w:ascii="Times New Roman" w:hAnsi="Times New Roman" w:cs="Times New Roman"/>
                <w:b w:val="0"/>
                <w:bCs w:val="0"/>
              </w:rPr>
              <w:t xml:space="preserve">Документы, подтверждающие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pStyle w:val="1415"/>
              <w:numPr>
                <w:ilvl w:val="0"/>
                <w:numId w:val="0"/>
              </w:numPr>
            </w:pPr>
            <w:r>
              <w:rPr>
                <w:lang w:eastAsia="en-US"/>
              </w:rPr>
              <w:t xml:space="preserve">Не требуются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7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6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highlight w:val="white"/>
              </w:rPr>
            </w:pPr>
            <w:r/>
            <w:bookmarkStart w:id="146" w:name="_Документы_"/>
            <w:r/>
            <w:bookmarkStart w:id="147" w:name="_Документы_и_сведения,"/>
            <w:r/>
            <w:bookmarkEnd w:id="146"/>
            <w:r/>
            <w:bookmarkEnd w:id="147"/>
            <w:r>
              <w:rPr>
                <w:rFonts w:ascii="Times New Roman" w:hAnsi="Times New Roman" w:cs="Times New Roman"/>
                <w:b w:val="0"/>
                <w:bCs w:val="0"/>
                <w:highlight w:val="white"/>
              </w:rPr>
              <w:t xml:space="preserve">Документы и </w:t>
            </w:r>
            <w:r>
              <w:rPr>
                <w:rFonts w:ascii="Times New Roman" w:hAnsi="Times New Roman" w:cs="Times New Roman"/>
                <w:b w:val="0"/>
                <w:bCs w:val="0"/>
                <w:highlight w:val="white"/>
              </w:rPr>
              <w:t xml:space="preserve">сведения, подтверждающие соответствие иным отборочным критериям установленным в соответствии с   Приложением 1 к «Типовым требованиям к участникам закупок, критериям и порядку оценки  заявок участников закупок» Единого стандарта ПАО «Россети»</w:t>
            </w:r>
            <w:r>
              <w:rPr>
                <w:rFonts w:ascii="Times New Roman" w:hAnsi="Times New Roman" w:cs="Times New Roman"/>
                <w:b w:val="0"/>
                <w:bCs w:val="0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415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  <w:lang w:eastAsia="en-US"/>
              </w:rPr>
              <w:t xml:space="preserve">Требуются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415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415"/>
              <w:numPr>
                <w:ilvl w:val="0"/>
                <w:numId w:val="38"/>
              </w:numPr>
              <w:ind w:left="0" w:firstLine="283"/>
              <w:tabs>
                <w:tab w:val="left" w:pos="383" w:leader="none"/>
              </w:tabs>
              <w:rPr>
                <w:highlight w:val="white"/>
              </w:rPr>
            </w:pPr>
            <w:r/>
            <w:hyperlink w:tooltip="#_ФОРМА_Спра_2" w:anchor="_ФОРМА_Спра_2" w:history="1">
              <w:r>
                <w:rPr>
                  <w:rStyle w:val="1364"/>
                  <w:highlight w:val="white"/>
                </w:rPr>
                <w:t xml:space="preserve">СПРАВКА О ПЕРЕЧНЕ И ОБЪЕМАХ ИСПОЛНЕНИЯ АНАЛОГИЧНЫХ ДОГОВОРОВ ЗА 3 (ТРИ) ПОСЛЕДНИЕ ГОДА</w:t>
              </w:r>
            </w:hyperlink>
            <w:r>
              <w:rPr>
                <w:highlight w:val="white"/>
              </w:rPr>
              <w:t xml:space="preserve">, </w:t>
            </w:r>
            <w:r>
              <w:rPr>
                <w:highlight w:val="white"/>
                <w:lang w:eastAsia="en-US"/>
              </w:rPr>
              <w:t xml:space="preserve">по форме, установленной в настоящей документации о закупке (часть </w:t>
            </w:r>
            <w:hyperlink w:tooltip="#_III._ОБРАЗ" w:anchor="_III._ОБРАЗ" w:history="1">
              <w:r>
                <w:rPr>
                  <w:rStyle w:val="1364"/>
                  <w:highlight w:val="white"/>
                  <w:lang w:eastAsia="en-US"/>
                </w:rPr>
                <w:t xml:space="preserve">I</w:t>
              </w:r>
              <w:r>
                <w:rPr>
                  <w:rStyle w:val="1364"/>
                  <w:highlight w:val="white"/>
                  <w:lang w:eastAsia="en-US"/>
                </w:rPr>
                <w:t xml:space="preserve">II «ОБРАЗЦЫ ФОРМ ДЛЯ ЗАПОЛНЕНИЯ УЧАСТНИКАМИ ЗАКУПКИ»</w:t>
              </w:r>
            </w:hyperlink>
            <w:r>
              <w:rPr>
                <w:highlight w:val="white"/>
                <w:lang w:eastAsia="en-US"/>
              </w:rPr>
              <w:t xml:space="preserve">)</w:t>
            </w:r>
            <w:r>
              <w:rPr>
                <w:highlight w:val="white"/>
              </w:rPr>
              <w:t xml:space="preserve">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415"/>
              <w:numPr>
                <w:ilvl w:val="0"/>
                <w:numId w:val="38"/>
              </w:numPr>
              <w:ind w:left="0" w:firstLine="283"/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копии исполненных аналогичных договоров, включающих все приложения к таким договорам, все дополнительные соглашения к ним.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415"/>
              <w:numPr>
                <w:ilvl w:val="0"/>
                <w:numId w:val="38"/>
              </w:numPr>
              <w:ind w:left="0" w:firstLine="283"/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копия последней «Справки о стоимости выполненных работ и затрат» по форме КС-3</w:t>
            </w:r>
            <w:r>
              <w:rPr>
                <w:highlight w:val="white"/>
              </w:rPr>
              <w:t xml:space="preserve"> (в случае если в соответствии с условиями договора такая форма предусмотрена);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b/>
                <w:color w:val="1f497d"/>
                <w:highlight w:val="white"/>
              </w:rPr>
            </w:pPr>
            <w:r>
              <w:rPr>
                <w:b/>
                <w:highlight w:val="white"/>
              </w:rPr>
              <w:t xml:space="preserve">или</w:t>
            </w:r>
            <w:r>
              <w:rPr>
                <w:b/>
                <w:color w:val="1f497d"/>
                <w:highlight w:val="white"/>
              </w:rPr>
            </w:r>
            <w:r>
              <w:rPr>
                <w:b/>
                <w:color w:val="1f497d"/>
                <w:highlight w:val="white"/>
              </w:rPr>
            </w:r>
          </w:p>
          <w:p>
            <w:pPr>
              <w:pStyle w:val="1473"/>
              <w:ind w:firstLine="1276"/>
              <w:jc w:val="both"/>
              <w:tabs>
                <w:tab w:val="left" w:pos="459" w:leader="none"/>
                <w:tab w:val="left" w:pos="1985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копии «Актов о приемке выполненных работ» (форма КС-2 или иная форма в соответствии с условиями договора), содержащих все обязательные реквизиты, установленные частью 2 ста</w:t>
            </w:r>
            <w:r>
              <w:rPr>
                <w:highlight w:val="white"/>
              </w:rPr>
              <w:t xml:space="preserve">тьи 9 Федерального закона «О бухгалтерском учете» от 06.12.2011 № 402-ФЗ.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7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6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48" w:name="_Документы__1"/>
            <w:r/>
            <w:bookmarkStart w:id="149" w:name="_Документы_и_сведения,_1"/>
            <w:r/>
            <w:bookmarkEnd w:id="148"/>
            <w:r/>
            <w:bookmarkEnd w:id="149"/>
            <w:r>
              <w:rPr>
                <w:rFonts w:ascii="Times New Roman" w:hAnsi="Times New Roman" w:cs="Times New Roman"/>
                <w:b w:val="0"/>
                <w:bCs w:val="0"/>
              </w:rPr>
              <w:t xml:space="preserve">Документы и сведения, необходимые для оценки заявки по неценовым критериям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415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Перечень документов, необходимых для оценки заявок указан в </w:t>
            </w:r>
            <w:hyperlink w:tooltip="#_Приложение_№_1" w:anchor="_Приложение_№_1" w:history="1">
              <w:r>
                <w:rPr>
                  <w:rStyle w:val="1364"/>
                  <w:lang w:eastAsia="en-US"/>
                </w:rPr>
                <w:t xml:space="preserve">Приложении № 1 к части II «ИНФОРМАЦИОННАЯ КАРТА ЗАКУПКИ»</w:t>
              </w:r>
            </w:hyperlink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7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6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50" w:name="_Размер_обеспечения_исполнения"/>
            <w:r/>
            <w:bookmarkStart w:id="151" w:name="Par67"/>
            <w:r/>
            <w:bookmarkEnd w:id="150"/>
            <w:r>
              <w:rPr>
                <w:rFonts w:ascii="Times New Roman" w:hAnsi="Times New Roman" w:cs="Times New Roman"/>
                <w:b w:val="0"/>
                <w:bCs w:val="0"/>
              </w:rPr>
              <w:t xml:space="preserve">Размер обеспечения исполнения договора, срок и порядок его предоставления</w:t>
            </w:r>
            <w:bookmarkEnd w:id="151"/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rPr>
                <w:highlight w:val="white"/>
              </w:rPr>
            </w:pPr>
            <w:r>
              <w:rPr>
                <w:highlight w:val="white"/>
              </w:rPr>
              <w:t xml:space="preserve">Сумма обеспечения исполнения договора предусмотрена в размере: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415"/>
              <w:numPr>
                <w:ilvl w:val="0"/>
                <w:numId w:val="58"/>
              </w:numPr>
              <w:ind w:left="0" w:firstLine="488"/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5 % о</w:t>
            </w:r>
            <w:r>
              <w:rPr>
                <w:highlight w:val="white"/>
              </w:rPr>
              <w:t xml:space="preserve">т начальной (максимальной) цены договора (цены лота)</w:t>
            </w:r>
            <w:r>
              <w:rPr>
                <w:highlight w:val="white"/>
              </w:rPr>
              <w:t xml:space="preserve">, в случае предоставления обеспечения исполнения договора в форме независимой гарантии.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415"/>
              <w:numPr>
                <w:ilvl w:val="0"/>
                <w:numId w:val="58"/>
              </w:numPr>
              <w:ind w:left="0" w:firstLine="488"/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3 % от начальной (максимальной) цены договора (цены лота) в случае предоставления о</w:t>
            </w:r>
            <w:r>
              <w:rPr>
                <w:highlight w:val="white"/>
              </w:rPr>
              <w:t xml:space="preserve">беспечения исполнения договора в форме обеспечительного платежа;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415"/>
              <w:numPr>
                <w:ilvl w:val="0"/>
                <w:numId w:val="58"/>
              </w:numPr>
              <w:ind w:left="0" w:firstLine="488"/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10 % от начальной (максимальной) цены договора (не применяется для субъектов малого и среднего предпринимательства) в случае предоставления обеспечения исполнения договора в форме гарантийног</w:t>
            </w:r>
            <w:r>
              <w:rPr>
                <w:highlight w:val="white"/>
              </w:rPr>
              <w:t xml:space="preserve">о депозита.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415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highlight w:val="yellow"/>
              </w:rPr>
            </w:pPr>
            <w:r>
              <w:rPr>
                <w:highlight w:val="yellow"/>
              </w:rPr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spacing w:after="0"/>
              <w:rPr>
                <w:highlight w:val="white"/>
              </w:rPr>
            </w:pPr>
            <w:r>
              <w:rPr>
                <w:highlight w:val="white"/>
              </w:rPr>
              <w:t xml:space="preserve">Срок предоставления обеспечения исполнения договора: в соответствии с требованиями, установленными в части </w:t>
            </w:r>
            <w:hyperlink w:tooltip="#_IV._ПРОЕКТ" w:anchor="_IV._ПРОЕКТ" w:history="1">
              <w:r>
                <w:rPr>
                  <w:rStyle w:val="1364"/>
                  <w:highlight w:val="white"/>
                </w:rPr>
                <w:t xml:space="preserve">IV «ПРОЕКТ ДОГОВОРА»</w:t>
              </w:r>
            </w:hyperlink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highlight w:val="white"/>
              </w:rPr>
            </w:pPr>
            <w:r>
              <w:rPr>
                <w:iCs/>
                <w:highlight w:val="white"/>
              </w:rPr>
              <w:t xml:space="preserve">Порядок внесения денежных средств и </w:t>
            </w:r>
            <w:r>
              <w:rPr>
                <w:highlight w:val="white"/>
              </w:rPr>
              <w:t xml:space="preserve">условия независимой гара</w:t>
            </w:r>
            <w:r>
              <w:rPr>
                <w:highlight w:val="white"/>
              </w:rPr>
              <w:t xml:space="preserve">нтии установлены в разделе </w:t>
            </w:r>
            <w:hyperlink w:tooltip="#_Обеспечения_исполнения_договора," w:anchor="_ЗАКЛЮЧЕНИЕ,_ИЗМЕНЕНИЕ_И" w:history="1">
              <w:r>
                <w:rPr>
                  <w:rStyle w:val="1364"/>
                  <w:highlight w:val="white"/>
                </w:rPr>
                <w:t xml:space="preserve">6 части I «ОБЩИЕ УСЛОВИЯ ПРОВЕДЕНИЯ ЗАКУПКИ».</w:t>
              </w:r>
            </w:hyperlink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highlight w:val="white"/>
              </w:rPr>
            </w:pPr>
            <w:r>
              <w:rPr>
                <w:highlight w:val="white"/>
              </w:rPr>
              <w:t xml:space="preserve">В случае принятия участником закупки решения о предоставлении обеспечения исполнения обязательств п</w:t>
            </w:r>
            <w:r>
              <w:rPr>
                <w:highlight w:val="white"/>
              </w:rPr>
              <w:t xml:space="preserve">о договору в форме денежных средств, такие средства перечисляются на расчетный счет Заказчика, по реквизитам, указанным в части </w:t>
            </w:r>
            <w:hyperlink w:tooltip="#_ФОРМА_15._Справка" w:anchor="_IV._ПРОЕКТ" w:history="1">
              <w:r>
                <w:rPr>
                  <w:rStyle w:val="1364"/>
                  <w:highlight w:val="white"/>
                </w:rPr>
                <w:t xml:space="preserve">IV «ПРОЕКТ ДОГОВОРА»</w:t>
              </w:r>
            </w:hyperlink>
            <w:r>
              <w:rPr>
                <w:rStyle w:val="1364"/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7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6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Критерии и порядок оценки и сопоставления заявок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на участие в закупке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</w:pPr>
            <w: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hyperlink w:tooltip="#_Приложение_№_1" w:anchor="_Приложение" w:history="1">
              <w:r>
                <w:rPr>
                  <w:rStyle w:val="1364"/>
                  <w:lang w:eastAsia="en-US"/>
                </w:rPr>
                <w:t xml:space="preserve">Приложении № 1 к части </w:t>
              </w:r>
              <w:r>
                <w:rPr>
                  <w:rStyle w:val="1364"/>
                  <w:lang w:eastAsia="en-US"/>
                </w:rPr>
                <w:t xml:space="preserve">II «ИНФОРМАЦИОННАЯ КАРТА ЗАКУПКИ»</w:t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7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6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52" w:name="_Право_зака"/>
            <w:r/>
            <w:bookmarkStart w:id="153" w:name="_Право_заказчика_заключить"/>
            <w:r/>
            <w:bookmarkEnd w:id="152"/>
            <w:r/>
            <w:bookmarkEnd w:id="153"/>
            <w:r>
              <w:rPr>
                <w:rFonts w:ascii="Times New Roman" w:hAnsi="Times New Roman" w:cs="Times New Roman"/>
                <w:b w:val="0"/>
                <w:bCs w:val="0"/>
              </w:rPr>
              <w:t xml:space="preserve">Право заказчика заключить договор с несколькими участниками закупки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i/>
              </w:rPr>
              <w:suppressLineNumbers/>
            </w:pPr>
            <w:r>
              <w:t xml:space="preserve">Не предусмотрено.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7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6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Сведения о возможности одностороннего отказа от исполнения обязательств, предусмотренных договором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spacing w:after="0"/>
              <w:rPr>
                <w:i/>
              </w:rPr>
            </w:pPr>
            <w:r>
              <w:t xml:space="preserve">Односторонний отказ от исполнения договора возможен в порядке, установленном в проекте договора.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</w:tbl>
    <w:p>
      <w:pPr>
        <w:pStyle w:val="1146"/>
        <w:jc w:val="right"/>
        <w:rPr>
          <w:rFonts w:ascii="Times New Roman" w:hAnsi="Times New Roman" w:cs="Times New Roman"/>
        </w:rPr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46"/>
        <w:jc w:val="right"/>
        <w:rPr>
          <w:b w:val="0"/>
        </w:rPr>
      </w:pPr>
      <w:r/>
      <w:bookmarkStart w:id="154" w:name="_Приложение"/>
      <w:r/>
      <w:bookmarkStart w:id="155" w:name="_Приложение_№_1"/>
      <w:r/>
      <w:bookmarkEnd w:id="154"/>
      <w:r/>
      <w:bookmarkEnd w:id="155"/>
      <w:r>
        <w:rPr>
          <w:rFonts w:ascii="Times New Roman" w:hAnsi="Times New Roman" w:cs="Times New Roman"/>
        </w:rPr>
        <w:t xml:space="preserve">Приложение № 1 к части II «ИНФОРМАЦИОННАЯ КАРТА ЗАКУПКИ»</w:t>
      </w:r>
      <w:r>
        <w:rPr>
          <w:b w:val="0"/>
        </w:rPr>
        <w:t xml:space="preserve"> </w:t>
      </w:r>
      <w:r>
        <w:rPr>
          <w:b w:val="0"/>
        </w:rPr>
      </w:r>
      <w:r>
        <w:rPr>
          <w:b w:val="0"/>
        </w:rPr>
      </w:r>
    </w:p>
    <w:p>
      <w:pPr>
        <w:contextualSpacing/>
        <w:ind w:firstLine="200"/>
        <w:keepLines/>
        <w:spacing w:before="120" w:after="120"/>
      </w:pPr>
      <w:r/>
      <w:r/>
    </w:p>
    <w:p>
      <w:pPr>
        <w:pStyle w:val="1457"/>
        <w:numPr>
          <w:ilvl w:val="0"/>
          <w:numId w:val="7"/>
        </w:numPr>
        <w:contextualSpacing/>
        <w:ind w:left="0" w:right="-28" w:firstLine="567"/>
        <w:jc w:val="both"/>
        <w:keepLines/>
        <w:spacing w:before="120" w:after="120"/>
        <w:tabs>
          <w:tab w:val="left" w:pos="567" w:leader="none"/>
        </w:tabs>
      </w:pPr>
      <w:r>
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  <w:r/>
    </w:p>
    <w:tbl>
      <w:tblPr>
        <w:tblW w:w="14740" w:type="dxa"/>
        <w:tblInd w:w="-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417"/>
        <w:gridCol w:w="2126"/>
        <w:gridCol w:w="8362"/>
      </w:tblGrid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1431"/>
              <w:ind w:firstLine="1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 п/п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431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Критерии (подкритерии) оценки заявки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431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Весовое з</w:t>
            </w:r>
            <w:r>
              <w:rPr>
                <w:rFonts w:ascii="Times New Roman" w:hAnsi="Times New Roman" w:cs="Times New Roman"/>
                <w:b/>
              </w:rPr>
              <w:t xml:space="preserve">начение критерия (V)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431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Максимальный выставляемый балл (без учета весового коэффициента)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8362" w:type="dxa"/>
            <w:vAlign w:val="center"/>
            <w:textDirection w:val="lrTb"/>
            <w:noWrap w:val="false"/>
          </w:tcPr>
          <w:p>
            <w:pPr>
              <w:pStyle w:val="1431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Порядок оценки по критерию, в том числе с указанием необходимых подтверждающих сведений и документов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1431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431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431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«Цена договора»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431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70%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431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62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При оценке Заявок по критерию</w:t>
            </w:r>
            <w:r>
              <w:rPr>
                <w:b/>
              </w:rPr>
              <w:t xml:space="preserve"> «Цена договора»</w:t>
            </w:r>
            <w:r>
              <w:t xml:space="preserve"> лучшей признается Заявка с наименьшей </w:t>
            </w:r>
            <w:r>
              <w:rPr>
                <w:b/>
                <w:color w:val="000000" w:themeColor="text1"/>
              </w:rPr>
              <w:t xml:space="preserve">условной</w:t>
            </w:r>
            <w:r>
              <w:rPr>
                <w:color w:val="000000" w:themeColor="text1"/>
              </w:rPr>
              <w:t xml:space="preserve"> </w:t>
            </w:r>
            <w:r>
              <w:t xml:space="preserve">ценой заявки.</w:t>
            </w:r>
            <w:r/>
          </w:p>
          <w:p>
            <w:pPr>
              <w:spacing w:after="0"/>
              <w:widowControl w:val="off"/>
            </w:pPr>
            <w:r>
              <w:t xml:space="preserve">Рейтинг ЦБ</w:t>
            </w:r>
            <w:r>
              <w:rPr>
                <w:vertAlign w:val="subscript"/>
                <w:lang w:val="fr-FR"/>
              </w:rPr>
              <w:t xml:space="preserve">i</w:t>
            </w:r>
            <w:r>
              <w:rPr>
                <w:vertAlign w:val="subscript"/>
              </w:rPr>
              <w:t xml:space="preserve"> </w:t>
            </w:r>
            <w:r>
              <w:t xml:space="preserve">определяется в баллах по следующей формуле:</w:t>
            </w:r>
            <w:r/>
          </w:p>
          <w:p>
            <w:pPr>
              <w:spacing w:after="0"/>
              <w:widowControl w:val="off"/>
            </w:pPr>
            <w:r/>
            <w:r/>
          </w:p>
          <w:p>
            <w:pPr>
              <w:spacing w:after="0"/>
              <w:widowControl w:val="off"/>
            </w:pPr>
            <w:r/>
            <m:oMathPara>
              <m:oMathParaPr/>
              <m:oMath>
                <m:sSub>
                  <m:sSubPr>
                    <m:ctrlPr>
                      <w:rPr>
                        <w:rFonts w:ascii="Cambria Math" w:hAnsi="Cambria Math" w:eastAsia="Cambria Math" w:cs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eastAsia="Cambria Math" w:cs="Cambria Math"/>
                      </w:rPr>
                      <m:rPr/>
                      <m:t>ЦБ</m:t>
                    </m:r>
                  </m:e>
                  <m:sub>
                    <m:r>
                      <w:rPr>
                        <w:rFonts w:ascii="Cambria Math" w:hAnsi="Cambria Math" w:eastAsia="Cambria Math" w:cs="Cambria Math"/>
                      </w:rPr>
                      <m:rPr/>
                      <m:t>i</m:t>
                    </m:r>
                  </m:sub>
                </m:sSub>
                <m:r>
                  <w:rPr>
                    <w:rFonts w:ascii="Cambria Math" w:hAnsi="Cambria Math" w:eastAsia="Cambria Math" w:cs="Cambria Math"/>
                  </w:rPr>
                  <m:rPr>
                    <m:sty m:val="p"/>
                  </m:rPr>
                  <m:t>=</m:t>
                </m:r>
                <m:f>
                  <m:fPr>
                    <m:ctrlPr>
                      <w:rPr>
                        <w:rFonts w:ascii="Cambria Math" w:hAnsi="Cambria Math" w:eastAsia="Cambria Math" w:cs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eastAsia="Cambria Math" w:cs="Cambria Math"/>
                          </w:rPr>
                          <m:rPr/>
                          <m:t>Ц</m:t>
                        </m:r>
                      </m:e>
                      <m:sub>
                        <m:r>
                          <w:rPr>
                            <w:rFonts w:ascii="Cambria Math" w:hAnsi="Cambria Math" w:eastAsia="Cambria Math" w:cs="Cambria Math"/>
                          </w:rPr>
                          <m:rPr>
                            <m:sty m:val="p"/>
                          </m:rPr>
                          <m:t>min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eastAsia="Cambria Math" w:cs="Cambria Math"/>
                      </w:rPr>
                      <m:rPr/>
                      <m:t>Ц</m:t>
                    </m:r>
                    <m:r>
                      <w:rPr>
                        <w:rFonts w:ascii="Cambria Math" w:hAnsi="Cambria Math" w:eastAsia="Cambria Math" w:cs="Cambria Math"/>
                      </w:rPr>
                      <m:rPr/>
                      <m:t>i</m:t>
                    </m:r>
                  </m:den>
                </m:f>
                <m:r>
                  <w:rPr>
                    <w:rFonts w:ascii="Cambria Math" w:hAnsi="Cambria Math" w:eastAsia="Cambria Math" w:cs="Cambria Math"/>
                  </w:rPr>
                  <m:rPr>
                    <m:sty m:val="p"/>
                  </m:rPr>
                  <m:t>×100</m:t>
                </m:r>
                <m:r>
                  <w:rPr>
                    <w:rFonts w:ascii="Cambria Math" w:hAnsi="Cambria Math" w:eastAsia="Cambria Math" w:cs="Cambria Math"/>
                  </w:rPr>
                  <m:rPr/>
                  <m:t>;</m:t>
                </m:r>
              </m:oMath>
            </m:oMathPara>
            <w:r/>
            <w:r/>
          </w:p>
          <w:p>
            <w:pPr>
              <w:jc w:val="left"/>
              <w:spacing w:after="0"/>
              <w:widowControl w:val="off"/>
              <w:rPr>
                <w:highlight w:val="yellow"/>
              </w:rPr>
            </w:pPr>
            <w:r>
              <w:rPr>
                <w:highlight w:val="yellow"/>
              </w:rPr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spacing w:after="0"/>
              <w:widowControl w:val="off"/>
              <w:rPr>
                <w:i/>
              </w:rPr>
            </w:pPr>
            <w:r>
              <w:t xml:space="preserve">где: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  <w:widowControl w:val="off"/>
              <w:rPr>
                <w:highlight w:val="yellow"/>
              </w:rPr>
            </w:pPr>
            <w:r>
              <w:rPr>
                <w:b/>
                <w:bCs/>
              </w:rPr>
              <w:t xml:space="preserve">ЦБ</w:t>
            </w:r>
            <w:r>
              <w:rPr>
                <w:b/>
                <w:bCs/>
                <w:vertAlign w:val="subscript"/>
                <w:lang w:val="en-US"/>
              </w:rPr>
              <w:t xml:space="preserve">i</w:t>
            </w:r>
            <w:r>
              <w:t xml:space="preserve"> – оценка (рейтинг) i-й заявки по критерию «Цена договора»;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spacing w:after="0"/>
              <w:widowControl w:val="off"/>
            </w:pPr>
            <w:r>
              <w:rPr>
                <w:b/>
                <w:bCs/>
              </w:rPr>
              <w:t xml:space="preserve">Ц</w:t>
            </w:r>
            <w:r>
              <w:rPr>
                <w:b/>
                <w:bCs/>
                <w:vertAlign w:val="subscript"/>
              </w:rPr>
              <w:t xml:space="preserve">i</w:t>
            </w:r>
            <w:r>
              <w:rPr>
                <w:b/>
                <w:color w:val="000000" w:themeColor="text1"/>
              </w:rPr>
              <w:t xml:space="preserve"> – условная</w:t>
            </w:r>
            <w:r>
              <w:rPr>
                <w:color w:val="000000" w:themeColor="text1"/>
              </w:rPr>
              <w:t xml:space="preserve"> </w:t>
            </w:r>
            <w:r>
              <w:t xml:space="preserve">цена </w:t>
            </w:r>
            <w:r>
              <w:rPr>
                <w:lang w:val="en-US"/>
              </w:rPr>
              <w:t xml:space="preserve">i</w:t>
            </w:r>
            <w:r>
              <w:t xml:space="preserve">-го Участника закупки, (предложение) которого оценивается.</w:t>
            </w:r>
            <w:r/>
          </w:p>
          <w:p>
            <w:pPr>
              <w:spacing w:after="0"/>
              <w:widowControl w:val="off"/>
            </w:pPr>
            <w:r>
              <w:rPr>
                <w:b/>
                <w:bCs/>
              </w:rPr>
              <w:t xml:space="preserve">Ц</w:t>
            </w:r>
            <w:r>
              <w:rPr>
                <w:b/>
                <w:bCs/>
                <w:vertAlign w:val="subscript"/>
              </w:rPr>
              <w:t xml:space="preserve">min</w:t>
            </w:r>
            <w:r>
              <w:t xml:space="preserve"> – минимальная </w:t>
            </w:r>
            <w:r>
              <w:rPr>
                <w:b/>
                <w:color w:val="000000" w:themeColor="text1"/>
              </w:rPr>
              <w:t xml:space="preserve">условная</w:t>
            </w:r>
            <w:r>
              <w:rPr>
                <w:color w:val="ff0000"/>
              </w:rPr>
              <w:t xml:space="preserve"> </w:t>
            </w:r>
            <w:r>
              <w:t xml:space="preserve">цена из предложений, сделанных участниками закупки, заявки которых признаны соответствующими установленным отборочным требованиям.</w:t>
            </w:r>
            <w:r/>
          </w:p>
          <w:p>
            <w:pPr>
              <w:spacing w:after="0"/>
              <w:widowControl w:val="off"/>
            </w:pPr>
            <w:r/>
            <w:r/>
          </w:p>
          <w:p>
            <w:pPr>
              <w:spacing w:after="0"/>
              <w:widowControl w:val="off"/>
            </w:pPr>
            <w:r>
              <w:rPr>
                <w:b/>
                <w:color w:val="000000" w:themeColor="text1"/>
              </w:rPr>
              <w:t xml:space="preserve">Условная</w:t>
            </w:r>
            <w:r>
              <w:rPr>
                <w:color w:val="ff0000"/>
              </w:rPr>
              <w:t xml:space="preserve"> </w:t>
            </w:r>
            <w:r>
              <w:t xml:space="preserve">цена предложений рассчитывае</w:t>
            </w:r>
            <w:r>
              <w:t xml:space="preserve">тся исходя из условного объема (условная единица), указанного в Коммерческом предложении (Приложение № 5 к настоящей документации), умноженного на предложение о коэффициенте понижения цены.</w:t>
            </w:r>
            <w:r/>
          </w:p>
          <w:p>
            <w:pPr>
              <w:spacing w:after="0"/>
              <w:widowControl w:val="off"/>
            </w:pPr>
            <w:r>
              <w:t xml:space="preserve">Полученное значение ЦБ</w:t>
            </w:r>
            <w:r>
              <w:rPr>
                <w:vertAlign w:val="subscript"/>
                <w:lang w:val="fr-FR"/>
              </w:rPr>
              <w:t xml:space="preserve">i</w:t>
            </w:r>
            <w:r>
              <w:t xml:space="preserve"> является балльной оценкой по ценовому крит</w:t>
            </w:r>
            <w:r>
              <w:t xml:space="preserve">ерию и учитывается при расчете итогового рейтинга заявки участника, с учетом весового коэффициента.</w:t>
            </w:r>
            <w:r/>
          </w:p>
          <w:p>
            <w:pPr>
              <w:spacing w:after="0"/>
              <w:widowControl w:val="off"/>
            </w:pPr>
            <w:r/>
            <w:r/>
          </w:p>
          <w:p>
            <w:pPr>
              <w:pStyle w:val="143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Договор с победителем закупки заключается по начальной (максимальной) цене договора (лота), установленной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пункте </w:t>
            </w:r>
            <w:hyperlink w:tooltip="#_Сведения_о_начальной" w:anchor="_Сведения_о" w:history="1">
              <w:r>
                <w:rPr>
                  <w:rStyle w:val="1364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 xml:space="preserve">7 части II «ИНФОРМАЦИОННАЯ КАРТА ЗАКУПКИ»</w:t>
              </w:r>
            </w:hyperlink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включением в договор коэффициента тендерного снижения (предлагаемой скидки) от расчетов стоимости выполняемых работ.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pStyle w:val="1431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431"/>
              <w:ind w:firstLine="0"/>
              <w:rPr>
                <w:rFonts w:ascii="Times New Roman" w:hAnsi="Times New Roman" w:eastAsia="Calibri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highlight w:val="white"/>
                <w:lang w:eastAsia="en-US"/>
              </w:rPr>
              <w:t xml:space="preserve">Критерий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highlight w:val="white"/>
              </w:rPr>
            </w:r>
          </w:p>
          <w:p>
            <w:pPr>
              <w:pStyle w:val="1431"/>
              <w:ind w:firstLine="0"/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white"/>
              </w:rPr>
              <w:t xml:space="preserve">«Опыт исполнения аналогичных договоров»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white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pStyle w:val="1431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30%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pStyle w:val="1431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62" w:type="dxa"/>
            <w:vMerge w:val="restart"/>
            <w:textDirection w:val="lrTb"/>
            <w:noWrap w:val="false"/>
          </w:tcPr>
          <w:p>
            <w:pPr>
              <w:ind w:left="13"/>
              <w:spacing w:before="14" w:after="14"/>
              <w:widowControl w:val="off"/>
            </w:pPr>
            <w:r>
              <w:t xml:space="preserve">Расчет рейтинга заявки по критерию «</w:t>
            </w:r>
            <w:r>
              <w:rPr>
                <w:b/>
              </w:rPr>
              <w:t xml:space="preserve">Опыт исполнения аналогичных договоров»</w:t>
            </w:r>
            <w:r>
              <w:t xml:space="preserve"> оценивается в баллах по формуле:</w:t>
            </w:r>
            <w:r/>
          </w:p>
          <w:p>
            <w:pPr>
              <w:ind w:left="13"/>
              <w:spacing w:before="14" w:after="14"/>
              <w:widowControl w:val="off"/>
            </w:pPr>
            <w:r/>
            <w:r/>
          </w:p>
          <w:p>
            <w:pPr>
              <w:ind w:left="13"/>
              <w:spacing w:before="14" w:after="14"/>
              <w:widowControl w:val="off"/>
            </w:pPr>
            <w:r/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eastAsia="Cambria Math" w:cs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rPr>
                        <m:sty m:val="p"/>
                      </m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rPr>
                        <m:sty m:val="p"/>
                      </m:rPr>
                      <m:t>oi</m:t>
                    </m:r>
                  </m:sub>
                </m:sSub>
                <m:r>
                  <w:rPr>
                    <w:rFonts w:ascii="Cambria Math" w:hAnsi="Cambria Math"/>
                  </w:rPr>
                  <m:rPr>
                    <m:sty m:val="p"/>
                  </m:rPr>
                  <m:t>=</m:t>
                </m:r>
                <m:f>
                  <m:fPr>
                    <m:ctrlPr>
                      <w:rPr>
                        <w:rFonts w:ascii="Cambria Math" w:hAnsi="Cambria Math" w:eastAsia="Cambria Math" w:cs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rPr>
                            <m:sty m:val="p"/>
                          </m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rPr>
                            <m:sty m:val="p"/>
                          </m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rPr>
                            <m:sty m:val="p"/>
                          </m:rPr>
                          <m:t>О</m:t>
                        </m:r>
                      </m:e>
                      <m:sub>
                        <m:r>
                          <m:rPr>
                            <m:nor m:val="on"/>
                          </m:rPr>
                          <m:t>max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rPr>
                    <m:sty m:val="p"/>
                  </m:rPr>
                  <m:t>×100</m:t>
                </m:r>
                <m:r>
                  <w:rPr>
                    <w:rFonts w:ascii="Cambria Math" w:hAnsi="Cambria Math"/>
                  </w:rPr>
                  <m:rPr/>
                  <m:t>;</m:t>
                </m:r>
              </m:oMath>
            </m:oMathPara>
            <w:r/>
            <w:r/>
          </w:p>
          <w:p>
            <w:pPr>
              <w:ind w:left="13"/>
              <w:spacing w:before="14" w:after="14"/>
              <w:widowControl w:val="off"/>
            </w:pPr>
            <w:r>
              <w:t xml:space="preserve">где:</w:t>
            </w:r>
            <w:r/>
          </w:p>
          <w:p>
            <w:pPr>
              <w:ind w:left="13"/>
              <w:spacing w:before="14" w:after="14"/>
              <w:widowControl w:val="off"/>
            </w:pPr>
            <w:r/>
            <m:oMath>
              <m:sSub>
                <m:sSubPr>
                  <m:ctrlPr>
                    <w:rPr>
                      <w:rFonts w:ascii="Cambria Math" w:hAnsi="Cambria Math" w:eastAsia="Cambria Math" w:cs="Cambria Math"/>
                      <w:b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rPr>
                      <m:sty m:val="b"/>
                    </m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rPr>
                      <m:sty m:val="b"/>
                    </m:rPr>
                    <m:t>о</m:t>
                  </m:r>
                  <m:r>
                    <w:rPr>
                      <w:rFonts w:ascii="Cambria Math" w:hAnsi="Cambria Math"/>
                    </w:rPr>
                    <m:rPr>
                      <m:sty m:val="b"/>
                    </m:rPr>
                    <m:t>i</m:t>
                  </m:r>
                </m:sub>
              </m:sSub>
            </m:oMath>
            <w:r>
              <w:rPr>
                <w:b/>
                <w:bCs/>
              </w:rPr>
              <w:t xml:space="preserve"> </w:t>
            </w:r>
            <w:r>
              <w:t xml:space="preserve">– баллы, присуждаемые i-ой Заявке Участника по указанному критерию (без учета весового коэффициента);</w:t>
            </w:r>
            <w:r/>
          </w:p>
          <w:p>
            <w:pPr>
              <w:ind w:left="13"/>
              <w:spacing w:before="14" w:after="14"/>
              <w:widowControl w:val="off"/>
              <w:rPr>
                <w:highlight w:val="white"/>
              </w:rPr>
            </w:pPr>
            <w:r>
              <w:rPr>
                <w:b/>
                <w:bCs/>
              </w:rPr>
              <w:t xml:space="preserve">Оi</w:t>
            </w:r>
            <w:r>
              <w:t xml:space="preserve"> – опыт </w:t>
            </w:r>
            <w:r>
              <w:rPr>
                <w:highlight w:val="white"/>
              </w:rPr>
              <w:t xml:space="preserve">исполнения аналогичных договоров i-участником закупки (в ценовом выражении, без учета НДС). При этом, если величина опыта исполнения аналогичных договоров </w:t>
            </w:r>
            <w:r>
              <w:rPr>
                <w:highlight w:val="white"/>
                <w:lang w:val="en-US"/>
              </w:rPr>
              <w:t xml:space="preserve">i</w:t>
            </w:r>
            <w:r>
              <w:rPr>
                <w:highlight w:val="white"/>
              </w:rPr>
              <w:t xml:space="preserve">-участником закупки (в ценовом выражении) более чем в 10 (десять) раз превышает размер начальной (ма</w:t>
            </w:r>
            <w:r>
              <w:rPr>
                <w:highlight w:val="white"/>
              </w:rPr>
              <w:t xml:space="preserve">ксимальной) цены договора (лота), установленной </w:t>
            </w:r>
            <w:r>
              <w:t xml:space="preserve">в  пункте </w:t>
            </w:r>
            <w:hyperlink w:tooltip="#_Сведения_о_начальной" w:anchor="_Сведения_о_начальной" w:history="1">
              <w:r>
                <w:rPr>
                  <w:rStyle w:val="1364"/>
                </w:rPr>
                <w:t xml:space="preserve">7 части II «ИНФОРМАЦИОННАЯ КАРТА ЗАКУПКИ»</w:t>
              </w:r>
            </w:hyperlink>
            <w:r>
              <w:rPr>
                <w:highlight w:val="white"/>
              </w:rPr>
              <w:t xml:space="preserve">, то рейтинг заявки этого участника по данному критерию равен 100 баллам.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left="13"/>
              <w:spacing w:before="14" w:after="14"/>
              <w:widowControl w:val="off"/>
              <w:rPr>
                <w:highlight w:val="white"/>
              </w:rPr>
            </w:pPr>
            <w:r>
              <w:rPr>
                <w:b/>
                <w:bCs/>
                <w:highlight w:val="white"/>
              </w:rPr>
              <w:t xml:space="preserve">О</w:t>
            </w:r>
            <w:r>
              <w:rPr>
                <w:b/>
                <w:bCs/>
                <w:highlight w:val="white"/>
                <w:vertAlign w:val="subscript"/>
                <w:lang w:val="en-US"/>
              </w:rPr>
              <w:t xml:space="preserve">max</w:t>
            </w:r>
            <w:r>
              <w:rPr>
                <w:highlight w:val="white"/>
              </w:rPr>
              <w:t xml:space="preserve"> – максима</w:t>
            </w:r>
            <w:r>
              <w:rPr>
                <w:highlight w:val="white"/>
              </w:rPr>
              <w:t xml:space="preserve">льное значение опыта исполнения аналогичных договоров (в ценовом выражении, без учета НДС) среди участников закупки, заявки которых признаны соответствующими установленным отборочным требованиям. При этом, если наибольшая величина опыта исполнения аналогич</w:t>
            </w:r>
            <w:r>
              <w:rPr>
                <w:highlight w:val="white"/>
              </w:rPr>
              <w:t xml:space="preserve">ных договоров среди всех участников закупки (в ценовом выражении) более чем в 10 (десять) раз превышает размер начальной (максимальной) цены договора (лота), установленной </w:t>
            </w:r>
            <w:r>
              <w:t xml:space="preserve">в  пункте </w:t>
            </w:r>
            <w:hyperlink w:tooltip="#_Сведения_о_начальной" w:anchor="_Сведения_о_начальной" w:history="1">
              <w:r>
                <w:rPr>
                  <w:rStyle w:val="1364"/>
                </w:rPr>
                <w:t xml:space="preserve">7 час</w:t>
              </w:r>
              <w:r>
                <w:rPr>
                  <w:rStyle w:val="1364"/>
                </w:rPr>
                <w:t xml:space="preserve">ти II «ИНФОРМАЦИОННАЯ КАРТА ЗАКУПКИ»</w:t>
              </w:r>
            </w:hyperlink>
            <w:r>
              <w:rPr>
                <w:highlight w:val="white"/>
              </w:rPr>
              <w:t xml:space="preserve">, O</w:t>
            </w:r>
            <w:r>
              <w:rPr>
                <w:highlight w:val="white"/>
                <w:vertAlign w:val="subscript"/>
              </w:rPr>
              <w:t xml:space="preserve">max</w:t>
            </w:r>
            <w:r>
              <w:rPr>
                <w:highlight w:val="white"/>
              </w:rPr>
              <w:t xml:space="preserve"> принимается равным величине начальной (максимальной) цены договора (лота), установленной </w:t>
            </w:r>
            <w:r>
              <w:t xml:space="preserve">в  пункте </w:t>
            </w:r>
            <w:hyperlink w:tooltip="#_Сведения_о_начальной" w:anchor="_Сведения_о_начальной" w:history="1">
              <w:r>
                <w:rPr>
                  <w:rStyle w:val="1364"/>
                </w:rPr>
                <w:t xml:space="preserve">7 части II «ИНФОРМАЦИОННАЯ КАРТА ЗАКУПКИ»</w:t>
              </w:r>
            </w:hyperlink>
            <w:r>
              <w:rPr>
                <w:highlight w:val="white"/>
              </w:rPr>
              <w:t xml:space="preserve"> уве</w:t>
            </w:r>
            <w:r>
              <w:rPr>
                <w:highlight w:val="white"/>
              </w:rPr>
              <w:t xml:space="preserve">личенной в 10 (десять) раз.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left="13"/>
              <w:spacing w:before="14" w:after="14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left="13"/>
              <w:spacing w:before="14" w:after="14"/>
              <w:widowControl w:val="off"/>
            </w:pPr>
            <w:r>
              <w:t xml:space="preserve">Расчетный период – 3 (три) года на дату размещения извещения о закупке на официальном сайте единой информационной системы в сфере закупок в информационно-телекоммуникационной сети Интернет.</w:t>
            </w:r>
            <w:r/>
          </w:p>
          <w:p>
            <w:pPr>
              <w:ind w:left="13"/>
              <w:spacing w:before="14" w:after="14"/>
              <w:widowControl w:val="off"/>
            </w:pPr>
            <w:r/>
            <w:r/>
          </w:p>
          <w:p>
            <w:pPr>
              <w:pStyle w:val="1431"/>
              <w:ind w:left="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Аналогичными договорами являются дог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оворы на: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431"/>
              <w:numPr>
                <w:ilvl w:val="0"/>
                <w:numId w:val="59"/>
              </w:numPr>
              <w:ind w:left="0" w:firstLine="37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«под ключ» по строительству/реконструкции/ремонту объектов электросетевого хозяйства напряжением от 0,4 кВ до 15 кВ, мощностью от 1 до 150 кВт;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431"/>
              <w:numPr>
                <w:ilvl w:val="0"/>
                <w:numId w:val="59"/>
              </w:numPr>
              <w:ind w:left="0" w:firstLine="37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проектированию объектов электросетевого хозяйства напряжением от 0,4 кВ до 15 кВ, мощностью от 1 до 150 кВт;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431"/>
              <w:numPr>
                <w:ilvl w:val="0"/>
                <w:numId w:val="59"/>
              </w:numPr>
              <w:ind w:left="0" w:firstLine="37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строительно-монтажных работ по строительству/реконструкции/ремонту объектов электросетевого хозяйства напряжением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0,4 кВ до 15 кВ, мощностью от 1 до 150 кВт.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left="13"/>
              <w:spacing w:before="14" w:after="14"/>
              <w:widowControl w:val="off"/>
              <w:tabs>
                <w:tab w:val="left" w:pos="361" w:leader="none"/>
              </w:tabs>
            </w:pPr>
            <w:r/>
            <w:r/>
          </w:p>
          <w:p>
            <w:pPr>
              <w:ind w:left="13"/>
              <w:spacing w:before="14" w:after="14"/>
              <w:widowControl w:val="off"/>
            </w:pPr>
            <w:r>
              <w:t xml:space="preserve">В рамках данного требования к учету будет принята стоимость выполненных работ по аналогичным договорам, которые завершены  за последние 3 (три) года на дату размещения извещения о закупке на официальном сайте е</w:t>
            </w:r>
            <w:r>
              <w:t xml:space="preserve">диной информационной системы в сфере закупок в информационно-телекоммуникационной сети Интернет, отраженная в последней «Справке о стоимости выполненных работ и затрат» по форме КС-3 (в случае если в соответствии с условиями договора такая форма предусмотр</w:t>
            </w:r>
            <w:r>
              <w:t xml:space="preserve">ена), либо в актах выполненных работ. </w:t>
            </w:r>
            <w:r/>
          </w:p>
          <w:p>
            <w:pPr>
              <w:ind w:left="13"/>
              <w:spacing w:before="14" w:after="14"/>
              <w:widowControl w:val="off"/>
            </w:pPr>
            <w:r>
              <w:t xml:space="preserve">Из расчета исключаются договоры, не являющиеся аналогичными, договоры, не исполненные на 100%, договоры, указанные в справке, по которым отсутствуют подтверждающие документы, а также договоры, не указанные в справке.</w:t>
            </w:r>
            <w:r/>
          </w:p>
          <w:p>
            <w:pPr>
              <w:ind w:left="13"/>
              <w:spacing w:before="14" w:after="14"/>
              <w:widowControl w:val="off"/>
            </w:pPr>
            <w:r/>
            <w:r/>
          </w:p>
          <w:p>
            <w:pPr>
              <w:ind w:left="13"/>
            </w:pPr>
            <w:r>
              <w:rPr>
                <w:b/>
                <w:bCs/>
              </w:rPr>
              <w:t xml:space="preserve">Подтверждающие документы</w:t>
            </w:r>
            <w:r>
              <w:t xml:space="preserve">:</w:t>
            </w:r>
            <w:r/>
          </w:p>
          <w:p>
            <w:pPr>
              <w:pStyle w:val="1415"/>
              <w:numPr>
                <w:ilvl w:val="0"/>
                <w:numId w:val="41"/>
              </w:numPr>
              <w:ind w:left="0" w:firstLine="992"/>
              <w:tabs>
                <w:tab w:val="left" w:pos="383" w:leader="none"/>
              </w:tabs>
              <w:rPr>
                <w:lang w:eastAsia="en-US"/>
              </w:rPr>
            </w:pPr>
            <w:r/>
            <w:hyperlink w:tooltip="#_ФОРМА_Спра_7" w:anchor="_ФОРМА_СПРА_6" w:history="1">
              <w:r>
                <w:rPr>
                  <w:rStyle w:val="1364"/>
                  <w:lang w:eastAsia="en-US"/>
                </w:rPr>
                <w:t xml:space="preserve">СПРАВКА О ПЕРЕЧНЕ И ОБЪЕМАХ ВЫПОЛНЕНИЯ АНАЛОГИЧНЫХ ДОГОВОРОВ ЗА 3 (ТРИ) ПОСЛЕДНИХ ГОДА</w:t>
              </w:r>
            </w:hyperlink>
            <w:r>
              <w:t xml:space="preserve"> </w:t>
            </w:r>
            <w:r>
              <w:rPr>
                <w:rStyle w:val="1364"/>
                <w:color w:val="000000" w:themeColor="text1"/>
                <w:u w:val="none"/>
                <w:lang w:eastAsia="en-US"/>
              </w:rPr>
              <w:t xml:space="preserve">по форме, установленной в настоящей документации о закупке (</w:t>
            </w:r>
            <w:r>
              <w:t xml:space="preserve">часть </w:t>
            </w:r>
            <w:hyperlink w:tooltip="#_III._ОБРАЗ" w:anchor="_III._ОБРАЗ" w:history="1">
              <w:r>
                <w:rPr>
                  <w:rStyle w:val="1364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364"/>
                <w:color w:val="000000" w:themeColor="text1"/>
                <w:u w:val="none"/>
                <w:lang w:eastAsia="en-US"/>
              </w:rPr>
              <w:t xml:space="preserve">)</w:t>
            </w:r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15"/>
              <w:numPr>
                <w:ilvl w:val="0"/>
                <w:numId w:val="41"/>
              </w:numPr>
              <w:ind w:left="0" w:firstLine="992"/>
              <w:tabs>
                <w:tab w:val="left" w:pos="383" w:leader="none"/>
              </w:tabs>
            </w:pPr>
            <w:r>
              <w:t xml:space="preserve">копии исполненных аналогичных договоров, включающих все приложения к таким договорам, все дополнительные соглашения к ним;</w:t>
            </w:r>
            <w:r/>
          </w:p>
          <w:p>
            <w:pPr>
              <w:pStyle w:val="1415"/>
              <w:numPr>
                <w:ilvl w:val="0"/>
                <w:numId w:val="41"/>
              </w:numPr>
              <w:ind w:left="0" w:firstLine="992"/>
              <w:tabs>
                <w:tab w:val="left" w:pos="383" w:leader="none"/>
              </w:tabs>
              <w:rPr>
                <w:lang w:eastAsia="en-US"/>
              </w:rPr>
            </w:pPr>
            <w:r>
              <w:t xml:space="preserve">копия последней «Справки о сто</w:t>
            </w:r>
            <w:r>
              <w:t xml:space="preserve">имости выполненных работ и затрат» по форме КС-3 (в случае если в соответствии с условиями договора такая форма предусмотрена);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ind w:left="13"/>
              <w:spacing w:after="0"/>
              <w:rPr>
                <w:b/>
                <w:color w:val="1f497d"/>
              </w:rPr>
            </w:pPr>
            <w:r>
              <w:rPr>
                <w:b/>
              </w:rPr>
              <w:t xml:space="preserve">или </w:t>
            </w:r>
            <w:r>
              <w:rPr>
                <w:b/>
                <w:color w:val="1f497d"/>
              </w:rPr>
            </w:r>
            <w:r>
              <w:rPr>
                <w:b/>
                <w:color w:val="1f497d"/>
              </w:rPr>
            </w:r>
          </w:p>
          <w:p>
            <w:pPr>
              <w:pStyle w:val="1415"/>
              <w:numPr>
                <w:ilvl w:val="0"/>
                <w:numId w:val="42"/>
              </w:numPr>
              <w:ind w:left="0" w:firstLine="992"/>
            </w:pPr>
            <w:r>
              <w:t xml:space="preserve">копии «Актов о приемке выполненных работ» (форма КС-2 или иная форма в соответствии с условиями договора), содержащих все о</w:t>
            </w:r>
            <w:r>
              <w:t xml:space="preserve">бязательные реквизиты, установленные частью 2 статьи 9 Федерального закона «О бухгалтерском учете» от 06.12.2011 № 402-ФЗ.</w:t>
            </w:r>
            <w:r/>
          </w:p>
          <w:p>
            <w:pPr>
              <w:pStyle w:val="1431"/>
              <w:ind w:left="1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13"/>
              <w:spacing w:after="0"/>
              <w:widowControl w:val="off"/>
            </w:pPr>
            <w:r>
              <w:t xml:space="preserve">В случае не предоставления участником закупки необходимой для проведения балльной оценки информации или недостаточности предоставлен</w:t>
            </w:r>
            <w:r>
              <w:t xml:space="preserve">ной участником информации, заявке такого участника, по данному критерию, присваивается </w:t>
            </w:r>
            <w:r>
              <w:rPr>
                <w:b/>
              </w:rPr>
              <w:t xml:space="preserve">0 баллов</w:t>
            </w:r>
            <w:r>
              <w:t xml:space="preserve">.</w:t>
            </w:r>
            <w:r/>
          </w:p>
        </w:tc>
      </w:tr>
    </w:tbl>
    <w:p>
      <w:pPr>
        <w:jc w:val="left"/>
        <w:spacing w:after="0"/>
      </w:pPr>
      <w:r/>
      <w:r/>
    </w:p>
    <w:p>
      <w:pPr>
        <w:pStyle w:val="1457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Полученные расчетные знач</w:t>
      </w:r>
      <w:r>
        <w:rPr>
          <w:rFonts w:eastAsia="Calibri"/>
          <w:lang w:eastAsia="en-US"/>
        </w:rPr>
        <w:t xml:space="preserve">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</w:t>
      </w:r>
      <w:r>
        <w:rPr>
          <w:rFonts w:eastAsia="Calibri"/>
          <w:lang w:eastAsia="en-US"/>
        </w:rPr>
        <w:t xml:space="preserve">ициентов: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851"/>
        <w:jc w:val="center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bCs/>
          <w:lang w:val="en-US" w:eastAsia="en-US"/>
        </w:rPr>
        <w:t xml:space="preserve">R</w:t>
      </w:r>
      <w:r>
        <w:rPr>
          <w:rFonts w:eastAsia="Calibri"/>
          <w:bCs/>
          <w:vertAlign w:val="subscript"/>
          <w:lang w:val="en-US" w:eastAsia="en-US"/>
        </w:rPr>
        <w:t xml:space="preserve">i</w:t>
      </w:r>
      <w:r>
        <w:rPr>
          <w:rFonts w:eastAsia="Calibri"/>
          <w:b/>
          <w:bCs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 xml:space="preserve">= (R</w:t>
      </w:r>
      <w:r>
        <w:rPr>
          <w:rFonts w:eastAsia="Calibri"/>
          <w:iCs/>
          <w:vertAlign w:val="subscript"/>
          <w:lang w:val="en-US" w:eastAsia="en-US"/>
        </w:rPr>
        <w:t xml:space="preserve">si</w:t>
      </w:r>
      <w:r>
        <w:rPr>
          <w:rFonts w:eastAsia="Calibri"/>
          <w:vertAlign w:val="subscript"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 xml:space="preserve">x V</w:t>
      </w:r>
      <w:r>
        <w:rPr>
          <w:rFonts w:eastAsia="Calibri"/>
          <w:vertAlign w:val="subscript"/>
          <w:lang w:val="en-US" w:eastAsia="en-US"/>
        </w:rPr>
        <w:t xml:space="preserve">s</w:t>
      </w:r>
      <w:r>
        <w:rPr>
          <w:rFonts w:eastAsia="Calibri"/>
          <w:lang w:val="en-US" w:eastAsia="en-US"/>
        </w:rPr>
        <w:t xml:space="preserve">) + (R</w:t>
      </w:r>
      <w:r>
        <w:rPr>
          <w:rFonts w:eastAsia="Calibri"/>
          <w:iCs/>
          <w:vertAlign w:val="subscript"/>
          <w:lang w:val="en-US" w:eastAsia="en-US"/>
        </w:rPr>
        <w:t xml:space="preserve">o1</w:t>
      </w:r>
      <w:r>
        <w:rPr>
          <w:rFonts w:eastAsia="Calibri"/>
          <w:lang w:val="en-US" w:eastAsia="en-US"/>
        </w:rPr>
        <w:t xml:space="preserve"> x V</w:t>
      </w:r>
      <w:r>
        <w:rPr>
          <w:rFonts w:eastAsia="Calibri"/>
          <w:vertAlign w:val="subscript"/>
          <w:lang w:val="en-US" w:eastAsia="en-US"/>
        </w:rPr>
        <w:t xml:space="preserve">o1</w:t>
      </w:r>
      <w:r>
        <w:rPr>
          <w:rFonts w:eastAsia="Calibri"/>
          <w:lang w:val="en-US" w:eastAsia="en-US"/>
        </w:rPr>
        <w:t xml:space="preserve">)</w:t>
      </w:r>
      <w:r>
        <w:rPr>
          <w:rFonts w:eastAsia="Calibri"/>
          <w:sz w:val="28"/>
          <w:szCs w:val="28"/>
          <w:lang w:val="en-US" w:eastAsia="en-US"/>
        </w:rPr>
      </w:r>
      <w:r>
        <w:rPr>
          <w:rFonts w:eastAsia="Calibri"/>
          <w:sz w:val="28"/>
          <w:szCs w:val="28"/>
          <w:lang w:val="en-US"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где: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bCs/>
          <w:lang w:eastAsia="en-US"/>
        </w:rPr>
        <w:t xml:space="preserve">Ri </w:t>
      </w:r>
      <w:r>
        <w:rPr>
          <w:rFonts w:eastAsia="Calibri"/>
          <w:b/>
          <w:bCs/>
          <w:lang w:eastAsia="en-US"/>
        </w:rPr>
        <w:t xml:space="preserve"> </w:t>
      </w:r>
      <w:r>
        <w:rPr>
          <w:rFonts w:eastAsia="Calibri"/>
          <w:lang w:eastAsia="en-US"/>
        </w:rPr>
        <w:t xml:space="preserve">- общий рейтинг предпочтительности i-й заявки;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Cs/>
          <w:vertAlign w:val="subscript"/>
          <w:lang w:val="en-US" w:eastAsia="en-US"/>
        </w:rPr>
        <w:t xml:space="preserve">si</w:t>
      </w:r>
      <w:r>
        <w:rPr>
          <w:rFonts w:eastAsia="Calibri"/>
          <w:vertAlign w:val="subscript"/>
          <w:lang w:eastAsia="en-US"/>
        </w:rPr>
        <w:t xml:space="preserve"> </w:t>
      </w:r>
      <w:r>
        <w:rPr>
          <w:rFonts w:eastAsia="Calibri"/>
          <w:lang w:val="en-US" w:eastAsia="en-US"/>
        </w:rPr>
        <w:t xml:space="preserve"> </w:t>
      </w:r>
      <w:r>
        <w:rPr>
          <w:rFonts w:eastAsia="Calibri"/>
          <w:lang w:eastAsia="en-US"/>
        </w:rPr>
        <w:t xml:space="preserve">- оценка в баллах по ценовому критерию (по критерию стоимости заявки);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Cs/>
          <w:vertAlign w:val="subscript"/>
          <w:lang w:val="en-US" w:eastAsia="en-US"/>
        </w:rPr>
        <w:t xml:space="preserve">o</w:t>
      </w:r>
      <w:r>
        <w:rPr>
          <w:rFonts w:eastAsia="Calibri"/>
          <w:iCs/>
          <w:vertAlign w:val="subscript"/>
          <w:lang w:eastAsia="en-US"/>
        </w:rPr>
        <w:t xml:space="preserve">1 </w:t>
      </w:r>
      <w:r>
        <w:rPr>
          <w:rFonts w:eastAsia="Calibri"/>
          <w:lang w:eastAsia="en-US"/>
        </w:rPr>
        <w:t xml:space="preserve">- оценка в баллах по неценовому критерию №1</w:t>
      </w:r>
      <w:r>
        <w:rPr>
          <w:rFonts w:eastAsia="Calibri"/>
          <w:bCs/>
          <w:lang w:eastAsia="en-US"/>
        </w:rPr>
        <w:t xml:space="preserve">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bCs/>
          <w:i/>
          <w:lang w:eastAsia="en-US"/>
        </w:rPr>
      </w:pPr>
      <w:r>
        <w:rPr>
          <w:rFonts w:eastAsia="Arial Unicode MS"/>
        </w:rPr>
        <w:t xml:space="preserve">V</w:t>
      </w:r>
      <w:r>
        <w:rPr>
          <w:rFonts w:eastAsia="Arial Unicode MS"/>
          <w:lang w:val="en-US"/>
        </w:rPr>
        <w:t xml:space="preserve">s</w:t>
      </w:r>
      <w:r>
        <w:rPr>
          <w:rFonts w:eastAsia="Arial Unicode MS"/>
        </w:rPr>
        <w:t xml:space="preserve">, V</w:t>
      </w:r>
      <w:r>
        <w:rPr>
          <w:rFonts w:eastAsia="Arial Unicode MS"/>
          <w:vertAlign w:val="subscript"/>
          <w:lang w:val="en-US"/>
        </w:rPr>
        <w:t xml:space="preserve">o</w:t>
      </w:r>
      <w:r>
        <w:rPr>
          <w:rFonts w:eastAsia="Arial Unicode MS"/>
          <w:vertAlign w:val="subscript"/>
        </w:rPr>
        <w:t xml:space="preserve">1</w:t>
      </w:r>
      <w:r>
        <w:rPr>
          <w:rFonts w:eastAsia="Arial Unicode MS"/>
        </w:rPr>
        <w:t xml:space="preserve"> – весовые коэффициенты соответствующих критериев</w:t>
      </w:r>
      <w:r>
        <w:rPr>
          <w:rFonts w:eastAsia="Calibri"/>
        </w:rPr>
        <w:t xml:space="preserve">.</w:t>
      </w:r>
      <w:r>
        <w:rPr>
          <w:rFonts w:eastAsia="Calibri"/>
          <w:bCs/>
          <w:i/>
          <w:lang w:eastAsia="en-US"/>
        </w:rPr>
      </w:r>
      <w:r>
        <w:rPr>
          <w:rFonts w:eastAsia="Calibri"/>
          <w:bCs/>
          <w:i/>
          <w:lang w:eastAsia="en-US"/>
        </w:rPr>
      </w:r>
    </w:p>
    <w:p>
      <w:pPr>
        <w:pStyle w:val="1457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 основании балльной оценки Заявок (с учетом весовых коэффициентов) Закупочная комиссия определяет рейтинг каждого Участника закупки.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457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Наивысшее место в итоговом рейтинге (ранжировке) с учетом весовых коэф</w:t>
      </w:r>
      <w:r>
        <w:rPr>
          <w:rFonts w:eastAsia="Calibri"/>
          <w:lang w:eastAsia="en-US"/>
        </w:rPr>
        <w:t xml:space="preserve">фициентов значимости получает Заявка, имеющая максимальный общий рейтинг предпочтительности Заявки (Ri).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457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</w:t>
      </w:r>
      <w:r>
        <w:rPr>
          <w:rFonts w:eastAsia="Calibri"/>
          <w:lang w:eastAsia="en-US"/>
        </w:rPr>
        <w:t xml:space="preserve">е итогового рейтинга используется для ранжирования заявок по степени предпочтительности.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457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</w:t>
      </w:r>
      <w:r>
        <w:rPr>
          <w:rFonts w:eastAsia="Calibri"/>
          <w:lang w:eastAsia="en-US"/>
        </w:rPr>
        <w:t xml:space="preserve">угих заявок.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widowControl w:val="off"/>
        <w:sectPr>
          <w:footnotePr/>
          <w:endnotePr/>
          <w:type w:val="nextPage"/>
          <w:pgSz w:w="16838" w:h="11906" w:orient="landscape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146"/>
        <w:ind w:left="0"/>
        <w:jc w:val="right"/>
      </w:pPr>
      <w:r/>
      <w:bookmarkStart w:id="156" w:name="_Приложение_1"/>
      <w:r/>
      <w:bookmarkStart w:id="157" w:name="_Приложение_№_2"/>
      <w:r/>
      <w:bookmarkEnd w:id="156"/>
      <w:r/>
      <w:bookmarkEnd w:id="157"/>
      <w:r>
        <w:rPr>
          <w:rFonts w:ascii="Times New Roman" w:hAnsi="Times New Roman" w:cs="Times New Roman"/>
        </w:rPr>
        <w:t xml:space="preserve">Приложение № 2 к части II «ИНФОРМАЦИОННАЯ КАРТА ЗАКУПКИ»</w:t>
      </w:r>
      <w:r>
        <w:t xml:space="preserve"> </w:t>
      </w:r>
      <w:r/>
    </w:p>
    <w:p>
      <w:pPr>
        <w:widowControl w:val="off"/>
      </w:pPr>
      <w:r/>
      <w:r/>
    </w:p>
    <w:p>
      <w:pPr>
        <w:ind w:firstLine="567"/>
        <w:widowControl w:val="off"/>
      </w:pPr>
      <w:r>
        <w:t xml:space="preserve">Сведения о начальной (максимальной) цене единицы товара, работы, услуги:</w:t>
      </w:r>
      <w:r/>
    </w:p>
    <w:p>
      <w:pPr>
        <w:widowControl w:val="off"/>
      </w:pPr>
      <w:r/>
      <w:r/>
    </w:p>
    <w:tbl>
      <w:tblPr>
        <w:tblpPr w:horzAnchor="text" w:tblpXSpec="left" w:vertAnchor="text" w:tblpY="1" w:leftFromText="180" w:topFromText="0" w:rightFromText="180" w:bottomFromText="0"/>
        <w:tblW w:w="4973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"/>
        <w:gridCol w:w="4496"/>
        <w:gridCol w:w="1541"/>
        <w:gridCol w:w="1821"/>
        <w:gridCol w:w="1817"/>
      </w:tblGrid>
      <w:tr>
        <w:tblPrEx/>
        <w:trPr>
          <w:trHeight w:val="271"/>
          <w:tblHeader/>
        </w:trPr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229" w:type="pct"/>
            <w:vAlign w:val="center"/>
            <w:vMerge w:val="restart"/>
            <w:textDirection w:val="lrTb"/>
            <w:noWrap w:val="false"/>
          </w:tcPr>
          <w:p>
            <w:pPr>
              <w:widowControl w:val="off"/>
            </w:pPr>
            <w:r>
              <w:t xml:space="preserve">№</w:t>
            </w:r>
            <w:r/>
          </w:p>
        </w:tc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2217" w:type="pct"/>
            <w:vAlign w:val="center"/>
            <w:vMerge w:val="restart"/>
            <w:textDirection w:val="lrTb"/>
            <w:noWrap w:val="false"/>
          </w:tcPr>
          <w:p>
            <w:pPr>
              <w:widowControl w:val="off"/>
            </w:pPr>
            <w:r>
              <w:t xml:space="preserve">Наименование товара, работы, услуги </w:t>
            </w:r>
            <w:r/>
          </w:p>
        </w:tc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76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Ед. изм.</w:t>
            </w:r>
            <w:r/>
          </w:p>
        </w:tc>
        <w:tc>
          <w:tcPr>
            <w:gridSpan w:val="2"/>
            <w:tcMar>
              <w:left w:w="56" w:type="dxa"/>
              <w:top w:w="28" w:type="dxa"/>
              <w:right w:w="56" w:type="dxa"/>
              <w:bottom w:w="28" w:type="dxa"/>
            </w:tcMar>
            <w:tcW w:w="1794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Цена за единицу</w:t>
            </w:r>
            <w:r/>
          </w:p>
        </w:tc>
      </w:tr>
      <w:tr>
        <w:tblPrEx/>
        <w:trPr>
          <w:trHeight w:val="271"/>
          <w:tblHeader/>
        </w:trPr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229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2217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760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Borders>
              <w:bottom w:val="single" w:color="auto" w:sz="4" w:space="0"/>
            </w:tcBorders>
            <w:tcMar>
              <w:left w:w="56" w:type="dxa"/>
              <w:top w:w="28" w:type="dxa"/>
              <w:right w:w="56" w:type="dxa"/>
              <w:bottom w:w="28" w:type="dxa"/>
            </w:tcMar>
            <w:tcW w:w="898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руб. без НДС</w:t>
            </w:r>
            <w:r/>
          </w:p>
        </w:tc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89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руб. с НДС</w:t>
            </w:r>
            <w:r/>
          </w:p>
        </w:tc>
      </w:tr>
      <w:tr>
        <w:tblPrEx/>
        <w:trPr>
          <w:trHeight w:val="529"/>
        </w:trPr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2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1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6" w:type="dxa"/>
              <w:top w:w="28" w:type="dxa"/>
              <w:right w:w="56" w:type="dxa"/>
              <w:bottom w:w="28" w:type="dxa"/>
            </w:tcMar>
            <w:tcW w:w="2217" w:type="pct"/>
            <w:vAlign w:val="center"/>
            <w:textDirection w:val="lrTb"/>
            <w:noWrap w:val="false"/>
          </w:tcPr>
          <w:p>
            <w:r>
              <w:rPr>
                <w:lang w:eastAsia="en-US"/>
              </w:rPr>
              <w:t xml:space="preserve">В</w:t>
            </w:r>
            <w:r>
              <w:rPr>
                <w:highlight w:val="white"/>
                <w:lang w:eastAsia="en-US"/>
              </w:rPr>
              <w:t xml:space="preserve">ыполнение работ, направленных на исполнение обязательств по объектам технологического присоединения к электрическим сетям АО «Россети Янтарь» (Лот № 1.1.17р)</w:t>
            </w:r>
            <w:r/>
          </w:p>
        </w:tc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760" w:type="pct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усл. ед.</w:t>
            </w:r>
            <w:r/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6" w:type="dxa"/>
              <w:top w:w="28" w:type="dxa"/>
              <w:right w:w="56" w:type="dxa"/>
              <w:bottom w:w="28" w:type="dxa"/>
            </w:tcMar>
            <w:tcW w:w="898" w:type="pct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50 000 000,00</w:t>
            </w:r>
            <w:r/>
          </w:p>
        </w:tc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896" w:type="pct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61 000 000,00</w:t>
            </w:r>
            <w:r/>
          </w:p>
        </w:tc>
      </w:tr>
      <w:tr>
        <w:tblPrEx/>
        <w:trPr>
          <w:trHeight w:val="529"/>
        </w:trPr>
        <w:tc>
          <w:tcPr>
            <w:gridSpan w:val="3"/>
            <w:tcMar>
              <w:left w:w="56" w:type="dxa"/>
              <w:top w:w="28" w:type="dxa"/>
              <w:right w:w="56" w:type="dxa"/>
              <w:bottom w:w="28" w:type="dxa"/>
            </w:tcMar>
            <w:tcW w:w="5967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Итого: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6" w:type="dxa"/>
              <w:top w:w="28" w:type="dxa"/>
              <w:right w:w="56" w:type="dxa"/>
              <w:bottom w:w="28" w:type="dxa"/>
            </w:tcMar>
            <w:tcW w:w="89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50 000 000,00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89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61 000 000,00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widowControl w:val="off"/>
      </w:pPr>
      <w:r/>
      <w:r/>
    </w:p>
    <w:p>
      <w:pPr>
        <w:ind w:firstLine="567"/>
        <w:widowControl w:val="off"/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t xml:space="preserve">Сведения о начальной (максимальной) цене единицы товара, работы, услуги указаны в части </w:t>
      </w:r>
      <w:hyperlink w:tooltip="#_ОБОСНОВАНИЕ_НМЦ" w:anchor="_ОБОСНОВАНИЕ_НМЦ" w:history="1">
        <w:r>
          <w:rPr>
            <w:rStyle w:val="1364"/>
          </w:rPr>
          <w:t xml:space="preserve">VI «ОБОСНОВАНИЕ НАЧАЛЬНОЙ (МАКСИМАЛЬНОЙ) ЦЕНЫ ДОГОВОРА»</w:t>
        </w:r>
      </w:hyperlink>
      <w:r>
        <w:t xml:space="preserve"> настоящей документации о закупке.</w:t>
      </w:r>
      <w:r/>
    </w:p>
    <w:p>
      <w:pPr>
        <w:pStyle w:val="1144"/>
        <w:numPr>
          <w:ilvl w:val="0"/>
          <w:numId w:val="4"/>
        </w:numPr>
        <w:ind w:left="0" w:firstLine="567"/>
        <w:pageBreakBefore/>
        <w:spacing w:before="0" w:after="0"/>
        <w:rPr>
          <w:rStyle w:val="1315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/>
      <w:bookmarkStart w:id="158" w:name="_III._ОБРАЗ"/>
      <w:r/>
      <w:bookmarkStart w:id="159" w:name="_РАЗДЕЛ_I_4_ОБРАЗЦЫ_ФОРМ_И_ДОКУМЕНТО"/>
      <w:r/>
      <w:bookmarkStart w:id="160" w:name="_ОБРАЗЦЫ_ФОРМ_ДЛЯ"/>
      <w:r/>
      <w:bookmarkStart w:id="161" w:name="_Ref119427310"/>
      <w:r/>
      <w:bookmarkStart w:id="162" w:name="_Ref166101288"/>
      <w:r/>
      <w:bookmarkStart w:id="163" w:name="_Ref166101291"/>
      <w:r/>
      <w:bookmarkStart w:id="164" w:name="_Ref166158276"/>
      <w:r/>
      <w:bookmarkStart w:id="165" w:name="_Ref166158279"/>
      <w:r/>
      <w:bookmarkStart w:id="166" w:name="_Ref166329210"/>
      <w:r/>
      <w:bookmarkStart w:id="167" w:name="_Ref166329212"/>
      <w:r/>
      <w:bookmarkStart w:id="168" w:name="_Ref166329217"/>
      <w:r/>
      <w:bookmarkStart w:id="169" w:name="_Toc46"/>
      <w:r/>
      <w:bookmarkEnd w:id="158"/>
      <w:r/>
      <w:bookmarkEnd w:id="159"/>
      <w:r/>
      <w:bookmarkEnd w:id="160"/>
      <w:r>
        <w:rPr>
          <w:rStyle w:val="1315"/>
          <w:rFonts w:ascii="Times New Roman" w:hAnsi="Times New Roman" w:cs="Times New Roman"/>
          <w:color w:val="auto"/>
          <w:sz w:val="28"/>
          <w:szCs w:val="28"/>
        </w:rPr>
        <w:t xml:space="preserve">ОБРАЗЦЫ ФОРМ ДЛЯ ЗА</w:t>
      </w:r>
      <w:r>
        <w:rPr>
          <w:rStyle w:val="1315"/>
          <w:rFonts w:ascii="Times New Roman" w:hAnsi="Times New Roman" w:cs="Times New Roman"/>
          <w:color w:val="auto"/>
          <w:sz w:val="28"/>
          <w:szCs w:val="28"/>
        </w:rPr>
        <w:t xml:space="preserve">ПОЛНЕНИЯ УЧАСТНИКАМИ ЗАКУПКИ</w:t>
      </w:r>
      <w:bookmarkEnd w:id="161"/>
      <w:r/>
      <w:bookmarkEnd w:id="162"/>
      <w:r/>
      <w:bookmarkEnd w:id="163"/>
      <w:r/>
      <w:bookmarkEnd w:id="164"/>
      <w:r/>
      <w:bookmarkEnd w:id="165"/>
      <w:r/>
      <w:bookmarkEnd w:id="166"/>
      <w:r/>
      <w:bookmarkEnd w:id="167"/>
      <w:r/>
      <w:bookmarkEnd w:id="168"/>
      <w:r/>
      <w:bookmarkEnd w:id="169"/>
      <w:r>
        <w:rPr>
          <w:rStyle w:val="1315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  <w:r>
        <w:rPr>
          <w:rStyle w:val="1315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</w:p>
    <w:p>
      <w:r/>
      <w:r/>
    </w:p>
    <w:p>
      <w:pPr>
        <w:pStyle w:val="1145"/>
        <w:ind w:left="0" w:firstLine="0"/>
        <w:tabs>
          <w:tab w:val="clear" w:pos="576" w:leader="none"/>
        </w:tabs>
        <w:rPr>
          <w:color w:val="000000" w:themeColor="text1"/>
          <w:sz w:val="24"/>
          <w:szCs w:val="24"/>
        </w:rPr>
      </w:pPr>
      <w:r/>
      <w:bookmarkStart w:id="170" w:name="_Toc47"/>
      <w:r>
        <w:rPr>
          <w:color w:val="000000" w:themeColor="text1"/>
          <w:sz w:val="24"/>
          <w:szCs w:val="24"/>
        </w:rPr>
        <w:t xml:space="preserve">ФОРМА ТЕХНИЧЕСКОЕ ПРЕДЛОЖЕНИЕ</w:t>
      </w:r>
      <w:bookmarkEnd w:id="170"/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r/>
      <w:r/>
    </w:p>
    <w:p>
      <w:pPr>
        <w:jc w:val="center"/>
        <w:spacing w:after="0"/>
        <w:rPr>
          <w:b/>
        </w:rPr>
      </w:pPr>
      <w:r>
        <w:rPr>
          <w:b/>
        </w:rPr>
        <w:t xml:space="preserve">Предложение участника в отношении предмета закупки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  <w:t xml:space="preserve">Техническое предложение на выполнение работ/оказание услуг</w:t>
      </w:r>
      <w:r>
        <w:rPr>
          <w:b/>
        </w:rPr>
      </w:r>
      <w:r>
        <w:rPr>
          <w:b/>
        </w:rPr>
      </w:r>
    </w:p>
    <w:p>
      <w:r>
        <w:rPr>
          <w:b/>
        </w:rPr>
        <w:t xml:space="preserve"> </w:t>
      </w:r>
      <w:r/>
    </w:p>
    <w:p>
      <w:pPr>
        <w:ind w:firstLine="567"/>
        <w:spacing w:after="0"/>
      </w:pPr>
      <w:r/>
      <w:r/>
    </w:p>
    <w:p>
      <w:pPr>
        <w:ind w:firstLine="567"/>
        <w:spacing w:after="0"/>
      </w:pPr>
      <w:r>
        <w:t xml:space="preserve">Наименование закупки _______________________________________ Лот № _______</w:t>
      </w:r>
      <w:r/>
    </w:p>
    <w:p>
      <w:pPr>
        <w:ind w:firstLine="567"/>
        <w:spacing w:after="0"/>
      </w:pPr>
      <w:r>
        <w:t xml:space="preserve">Номер извещения о проведении закупки в ЕИС: _______________________________</w:t>
      </w:r>
      <w:r/>
    </w:p>
    <w:p>
      <w:pPr>
        <w:ind w:firstLine="567"/>
        <w:spacing w:after="0"/>
      </w:pPr>
      <w:r/>
      <w:r/>
    </w:p>
    <w:p>
      <w:pPr>
        <w:ind w:firstLine="567"/>
        <w:spacing w:after="0"/>
      </w:pPr>
      <w:r>
        <w:rPr>
          <w:bCs/>
        </w:rPr>
        <w:t xml:space="preserve">Настоящим выражаем свое согласие на выполнение работ в полном соответствии с документацией о закупке, в том числе в соответствии с требованиями разделов «ТЕХНИЧЕСКАЯ ЧАСТЬ» и «ПРО</w:t>
      </w:r>
      <w:r>
        <w:rPr>
          <w:bCs/>
        </w:rPr>
        <w:t xml:space="preserve">ЕКТ ДОГОВОРА» документации о закупке.  </w:t>
      </w:r>
      <w:r/>
    </w:p>
    <w:p>
      <w:pPr>
        <w:ind w:firstLine="567"/>
        <w:spacing w:after="0"/>
      </w:pPr>
      <w:r/>
      <w:r/>
    </w:p>
    <w:p>
      <w:pPr>
        <w:ind w:firstLine="567"/>
        <w:spacing w:before="120"/>
        <w:rPr>
          <w:color w:val="0000cc"/>
        </w:rPr>
      </w:pPr>
      <w:r>
        <w:rPr>
          <w:color w:val="0000cc"/>
        </w:rPr>
        <w:t xml:space="preserve">Приложение: Техническое предложение на выполнение работ в редактируемом формате на ____ л.</w:t>
      </w:r>
      <w:r>
        <w:rPr>
          <w:color w:val="0000cc"/>
        </w:rPr>
      </w:r>
      <w:r>
        <w:rPr>
          <w:color w:val="0000cc"/>
        </w:rPr>
      </w:r>
    </w:p>
    <w:p>
      <w:pPr>
        <w:jc w:val="left"/>
        <w:spacing w:after="0"/>
      </w:pPr>
      <w:r/>
      <w:r/>
    </w:p>
    <w:p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567"/>
        <w:rPr>
          <w:b/>
          <w:bCs/>
        </w:rPr>
      </w:pPr>
      <w:r>
        <w:rPr>
          <w:b/>
        </w:rPr>
        <w:t xml:space="preserve">Инструкции по заполнению:</w:t>
      </w:r>
      <w:r>
        <w:rPr>
          <w:b/>
          <w:bCs/>
        </w:rPr>
      </w:r>
      <w:r>
        <w:rPr>
          <w:b/>
          <w:bCs/>
        </w:rPr>
      </w:r>
    </w:p>
    <w:p>
      <w:pPr>
        <w:pStyle w:val="1457"/>
        <w:numPr>
          <w:ilvl w:val="0"/>
          <w:numId w:val="43"/>
        </w:numPr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457"/>
        <w:numPr>
          <w:ilvl w:val="0"/>
          <w:numId w:val="43"/>
        </w:numPr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У</w:t>
      </w:r>
      <w:r>
        <w:rPr>
          <w:color w:val="000000" w:themeColor="text1"/>
        </w:rPr>
        <w:t xml:space="preserve">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457"/>
        <w:numPr>
          <w:ilvl w:val="0"/>
          <w:numId w:val="43"/>
        </w:numPr>
        <w:ind w:left="0" w:firstLine="709"/>
        <w:jc w:val="both"/>
      </w:pPr>
      <w:r>
        <w:t xml:space="preserve">В техническом предложении на выполнение работ Участником закупки выражается </w:t>
      </w:r>
      <w:r>
        <w:rPr>
          <w:bCs/>
        </w:rPr>
        <w:t xml:space="preserve">согласие на выполнение р</w:t>
      </w:r>
      <w:r>
        <w:rPr>
          <w:bCs/>
        </w:rPr>
        <w:t xml:space="preserve">абот в полном соответствии с документацией о закупке, в том числе в соответствии с требованиями «ТЕХНИЧЕСКОЙ ЧАСТИ» и «ПРОЕКТА ДОГОВОРА» документации о закупке. В случае, если участник предлагает какие-либо изменения либо дополнения относительно требований</w:t>
      </w:r>
      <w:r>
        <w:rPr>
          <w:bCs/>
        </w:rPr>
        <w:t xml:space="preserve">, изложенных в «ТЕХНИЧЕСКОЙ ЧАСТИ» и «ПРОЕКТЕ ДОГОВОРА», участник должен </w:t>
      </w:r>
      <w:r>
        <w:t xml:space="preserve">подробно и развернуто указать об этом в техническом предложении. В последнем случае в техническом предложении указывается фраза: «</w:t>
      </w:r>
      <w:r>
        <w:rPr>
          <w:bCs/>
        </w:rPr>
        <w:t xml:space="preserve">Настоящим выражаем свое согласие на выполнение работ </w:t>
      </w:r>
      <w:r>
        <w:rPr>
          <w:bCs/>
        </w:rPr>
        <w:t xml:space="preserve">в соответствии с документацией о закупке, в том числе в соответствии с требованиями «ТЕХНИЧЕСКОЙ ЧАСТИ» и «ПРОЕКТА ДОГОВОРА» документации о закупке с учетом следующих предложений: … (далее </w:t>
      </w:r>
      <w:r>
        <w:t xml:space="preserve">подробно и развернуто указываются предложения</w:t>
      </w:r>
      <w:r>
        <w:rPr>
          <w:bCs/>
        </w:rPr>
        <w:t xml:space="preserve">)</w:t>
      </w:r>
      <w:r>
        <w:t xml:space="preserve">.</w:t>
      </w:r>
      <w:r/>
    </w:p>
    <w:p>
      <w:pPr>
        <w:pStyle w:val="1457"/>
        <w:numPr>
          <w:ilvl w:val="0"/>
          <w:numId w:val="43"/>
        </w:numPr>
        <w:ind w:left="0" w:firstLine="709"/>
        <w:jc w:val="both"/>
      </w:pPr>
      <w:r>
        <w:t xml:space="preserve">Техническое предлож</w:t>
      </w:r>
      <w:r>
        <w:t xml:space="preserve">ение на выполнение работ и поставок будет служить основой для подготовки соответствующего приложения к Договору. В этой связи в целях снижения общих затрат сил и времени Заказчика и Участника закупки на подготовку Договора данное предложение следует подгот</w:t>
      </w:r>
      <w:r>
        <w:t xml:space="preserve">овить так, чтобы ее можно было с минимальными изменениями включить в Договор.</w:t>
      </w:r>
      <w:r/>
    </w:p>
    <w:p>
      <w:pPr>
        <w:pStyle w:val="1457"/>
        <w:numPr>
          <w:ilvl w:val="0"/>
          <w:numId w:val="43"/>
        </w:numPr>
        <w:ind w:left="0" w:firstLine="709"/>
        <w:jc w:val="both"/>
      </w:pPr>
      <w:r>
        <w:rPr>
          <w:b/>
        </w:rPr>
        <w:t xml:space="preserve">Участник закупки должен приложить файл данной формы, выполненный в редактируемом формате</w:t>
      </w:r>
      <w:r>
        <w:t xml:space="preserve">.</w:t>
      </w:r>
      <w:r/>
    </w:p>
    <w:p>
      <w:pPr>
        <w:pStyle w:val="1457"/>
        <w:numPr>
          <w:ilvl w:val="0"/>
          <w:numId w:val="43"/>
        </w:numPr>
        <w:ind w:left="0" w:firstLine="709"/>
        <w:jc w:val="both"/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145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171" w:name="_Toc48"/>
      <w:r>
        <w:rPr>
          <w:sz w:val="24"/>
          <w:szCs w:val="24"/>
        </w:rPr>
        <w:t xml:space="preserve">ФОРМА ПИСЬМО О ПОДАЧЕ ОФЕРТЫ</w:t>
      </w:r>
      <w:bookmarkEnd w:id="17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</w:pPr>
      <w:r>
        <w:t xml:space="preserve"> (</w:t>
      </w:r>
      <w:r>
        <w:rPr>
          <w:i/>
        </w:rPr>
        <w:t xml:space="preserve">документ изготавливается на фирменном бл</w:t>
      </w:r>
      <w:r>
        <w:rPr>
          <w:i/>
        </w:rPr>
        <w:t xml:space="preserve">анке организации участника закупки (для участников юридических лиц</w:t>
      </w:r>
      <w:r>
        <w:t xml:space="preserve">)</w:t>
      </w:r>
      <w:r/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left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</w:rPr>
      </w:pPr>
      <w:r>
        <w:rPr>
          <w:b/>
        </w:rPr>
        <w:t xml:space="preserve">Письмо о подаче оферты</w:t>
      </w:r>
      <w:r>
        <w:rPr>
          <w:b/>
        </w:rPr>
      </w:r>
      <w:r>
        <w:rPr>
          <w:b/>
        </w:rPr>
      </w:r>
    </w:p>
    <w:p>
      <w:pPr>
        <w:ind w:right="-1"/>
        <w:spacing w:after="0"/>
        <w:tabs>
          <w:tab w:val="left" w:pos="9355" w:leader="none"/>
        </w:tabs>
      </w:pPr>
      <w:r>
        <w:t xml:space="preserve">«_____»___________ 202_ г.                                                                                  №__________</w:t>
      </w:r>
      <w:r/>
    </w:p>
    <w:p>
      <w:pPr>
        <w:jc w:val="left"/>
      </w:pPr>
      <w:r/>
      <w:r/>
    </w:p>
    <w:p>
      <w:pPr>
        <w:jc w:val="center"/>
      </w:pPr>
      <w:r>
        <w:rPr>
          <w:iCs/>
        </w:rPr>
        <w:t xml:space="preserve">Уважаемые господа!</w:t>
      </w:r>
      <w:r/>
    </w:p>
    <w:p>
      <w:pPr>
        <w:ind w:firstLine="567"/>
        <w:spacing w:before="120"/>
        <w:rPr>
          <w:iCs/>
        </w:rPr>
      </w:pPr>
      <w:r>
        <w:rPr>
          <w:iCs/>
        </w:rPr>
        <w:t xml:space="preserve">Изучив извещение и док</w:t>
      </w:r>
      <w:r>
        <w:rPr>
          <w:iCs/>
        </w:rPr>
        <w:t xml:space="preserve">ументацию о закупке (включая все изменения и разъяснения к ней), размещенные в единой информационной системе в сфере закупок по адресу в сети Интернет «www.zakupki.gov.ru» (далее – ЕИС, Официальный сайт) от «___» __________ 202_ года (извещение №__________</w:t>
      </w:r>
      <w:r>
        <w:rPr>
          <w:iCs/>
        </w:rPr>
        <w:t xml:space="preserve">___), и безоговорочно принимая установленные в них требования и условия участия в закупке, в том числе в отношении технического задания, проекта договора, условия о подсудности разрешения споров по договору, порядка заключения договора, заключаемого по ито</w:t>
      </w:r>
      <w:r>
        <w:rPr>
          <w:iCs/>
        </w:rPr>
        <w:t xml:space="preserve">гам закупки, мы, являясь участником процедуры закупки / [или]лидером коллективного участника [выбрать необходимое], предлагаем заключить Договор на: ______________________________________________</w:t>
      </w:r>
      <w:r>
        <w:rPr>
          <w:bCs/>
          <w:i/>
          <w:spacing w:val="-6"/>
        </w:rPr>
        <w:t xml:space="preserve">[</w:t>
      </w:r>
      <w:r>
        <w:rPr>
          <w:bCs/>
          <w:i/>
        </w:rPr>
        <w:t xml:space="preserve">указывается предмет договора в соответствии с пунктом 3 част</w:t>
      </w:r>
      <w:r>
        <w:rPr>
          <w:bCs/>
          <w:i/>
        </w:rPr>
        <w:t xml:space="preserve">и II «ИНФОРМАЦИОННАЯ КАРТА ЗАКУПКИ»</w:t>
      </w:r>
      <w:r>
        <w:rPr>
          <w:bCs/>
          <w:i/>
          <w:spacing w:val="-6"/>
        </w:rPr>
        <w:t xml:space="preserve">]</w:t>
      </w:r>
      <w:r>
        <w:rPr>
          <w:bCs/>
          <w:spacing w:val="-6"/>
        </w:rPr>
        <w:t xml:space="preserve">.</w:t>
      </w:r>
      <w:r>
        <w:rPr>
          <w:iCs/>
        </w:rPr>
      </w:r>
      <w:r>
        <w:rPr>
          <w:iCs/>
        </w:rPr>
      </w:r>
    </w:p>
    <w:p>
      <w:pPr>
        <w:spacing w:after="0"/>
        <w:rPr>
          <w:bCs/>
          <w:i/>
          <w:spacing w:val="-6"/>
        </w:rPr>
      </w:pPr>
      <w:r>
        <w:rPr>
          <w:bCs/>
          <w:i/>
          <w:spacing w:val="-6"/>
        </w:rPr>
      </w:r>
      <w:r>
        <w:rPr>
          <w:bCs/>
          <w:i/>
          <w:spacing w:val="-6"/>
        </w:rPr>
      </w:r>
      <w:r>
        <w:rPr>
          <w:bCs/>
          <w:i/>
          <w:spacing w:val="-6"/>
        </w:rPr>
      </w:r>
    </w:p>
    <w:p>
      <w:pPr>
        <w:ind w:firstLine="567"/>
        <w:spacing w:before="120" w:after="0"/>
        <w:rPr>
          <w:b/>
        </w:rPr>
      </w:pPr>
      <w:r>
        <w:rPr>
          <w:b/>
        </w:rPr>
        <w:t xml:space="preserve">Настоящая заявка имеет правовой статус оферты и действует в течение 90 (девяносто) календарных дней со дня, следующего за днем окончания подачи заявок.</w:t>
      </w:r>
      <w:r>
        <w:rPr>
          <w:b/>
        </w:rPr>
      </w:r>
      <w:r>
        <w:rPr>
          <w:b/>
        </w:rPr>
      </w:r>
    </w:p>
    <w:p>
      <w:pPr>
        <w:ind w:firstLine="567"/>
        <w:spacing w:before="120" w:after="0"/>
      </w:pPr>
      <w:r>
        <w:rPr>
          <w:iCs/>
        </w:rPr>
        <w:t xml:space="preserve">Данная заявка подается с пониманием того, что </w:t>
      </w:r>
      <w:r>
        <w:t xml:space="preserve">вы не отвечаете и н</w:t>
      </w:r>
      <w:r>
        <w:t xml:space="preserve">е имеете обязательств по нашим расходам, связанным с подготовкой и подачей данной заявки за исключением случаев, прямо оговоренных в законодательстве.</w:t>
      </w:r>
      <w:r/>
    </w:p>
    <w:p>
      <w:pPr>
        <w:ind w:firstLine="567"/>
        <w:spacing w:after="0"/>
      </w:pPr>
      <w:r>
        <w:t xml:space="preserve">______________ (</w:t>
      </w:r>
      <w:r>
        <w:rPr>
          <w:i/>
        </w:rPr>
        <w:t xml:space="preserve">Наименование Участника закупки, при подаче заявки коллективным участником указывается Лид</w:t>
      </w:r>
      <w:r>
        <w:rPr>
          <w:i/>
        </w:rPr>
        <w:t xml:space="preserve">ер и состав коллективного участника</w:t>
      </w:r>
      <w:r>
        <w:t xml:space="preserve">)</w:t>
      </w:r>
      <w:r>
        <w:rPr>
          <w:iCs/>
        </w:rPr>
        <w:t xml:space="preserve"> </w:t>
      </w:r>
      <w:r>
        <w:t xml:space="preserve">при подаче настоящей оферты принимает на себя следующие обязательства, связанные с подачей заявки: </w:t>
      </w:r>
      <w:r/>
    </w:p>
    <w:p>
      <w:pPr>
        <w:numPr>
          <w:ilvl w:val="0"/>
          <w:numId w:val="44"/>
        </w:numPr>
        <w:ind w:left="0" w:firstLine="567"/>
        <w:spacing w:after="0"/>
        <w:widowControl w:val="off"/>
        <w:tabs>
          <w:tab w:val="left" w:pos="1080" w:leader="none"/>
        </w:tabs>
      </w:pPr>
      <w:r>
        <w:t xml:space="preserve">не изменять (не вносить изменения) и/или не отзывать свою заявку в течение срока ее действия после истечения срока окон</w:t>
      </w:r>
      <w:r>
        <w:t xml:space="preserve">чания подачи заявок;</w:t>
      </w:r>
      <w:r/>
    </w:p>
    <w:p>
      <w:pPr>
        <w:numPr>
          <w:ilvl w:val="0"/>
          <w:numId w:val="44"/>
        </w:numPr>
        <w:ind w:left="0" w:firstLine="567"/>
        <w:spacing w:after="0"/>
        <w:widowControl w:val="off"/>
        <w:tabs>
          <w:tab w:val="left" w:pos="1080" w:leader="none"/>
        </w:tabs>
      </w:pPr>
      <w:r>
        <w:t xml:space="preserve">предоставлять достоверные и неискаженные документы, сведения и/или информацию, приведенные в составе заявки; </w:t>
      </w:r>
      <w:r/>
    </w:p>
    <w:p>
      <w:pPr>
        <w:numPr>
          <w:ilvl w:val="0"/>
          <w:numId w:val="44"/>
        </w:numPr>
        <w:ind w:left="0" w:firstLine="567"/>
        <w:spacing w:after="0"/>
        <w:widowControl w:val="off"/>
        <w:tabs>
          <w:tab w:val="left" w:pos="1080" w:leader="none"/>
        </w:tabs>
      </w:pPr>
      <w:r>
        <w:t xml:space="preserve">заключить Договор в установленном в документации о закупке порядке, в случае признания ____________________ (</w:t>
      </w:r>
      <w:r>
        <w:rPr>
          <w:i/>
        </w:rPr>
        <w:t xml:space="preserve">Наименование Уча</w:t>
      </w:r>
      <w:r>
        <w:rPr>
          <w:i/>
        </w:rPr>
        <w:t xml:space="preserve">стника закупки, при подаче заявки коллективным участником указывается Лидер и состав коллективного участника</w:t>
      </w:r>
      <w:r>
        <w:t xml:space="preserve">) Победителем, либо единственным Участником, соответствующим требованиям документации.</w:t>
      </w:r>
      <w:r/>
    </w:p>
    <w:p>
      <w:pPr>
        <w:ind w:firstLine="567"/>
        <w:spacing w:before="120" w:after="0"/>
        <w:rPr>
          <w:iCs/>
        </w:rPr>
      </w:pPr>
      <w:r>
        <w:rPr>
          <w:iCs/>
        </w:rPr>
        <w:t xml:space="preserve">Мы подтверждаем свое согласие участвовать в вышеуказанной зак</w:t>
      </w:r>
      <w:r>
        <w:rPr>
          <w:iCs/>
        </w:rPr>
        <w:t xml:space="preserve">упке на условиях, установленных документацией о закупке, регламентом ЭТП и Положением о закупке, а также выполнить работы на условиях проекта договора, представленного в составе документации о закупке, со всеми приложениями к нему.</w:t>
      </w:r>
      <w:r>
        <w:rPr>
          <w:iCs/>
        </w:rPr>
      </w:r>
      <w:r>
        <w:rPr>
          <w:iCs/>
        </w:rPr>
      </w:r>
    </w:p>
    <w:p>
      <w:pPr>
        <w:ind w:firstLine="567"/>
        <w:spacing w:before="120" w:after="0"/>
        <w:rPr>
          <w:iCs/>
        </w:rPr>
      </w:pPr>
      <w:r>
        <w:rPr>
          <w:iCs/>
        </w:rPr>
        <w:t xml:space="preserve">Настоящим подтверждаем, </w:t>
      </w:r>
      <w:r>
        <w:rPr>
          <w:iCs/>
        </w:rPr>
        <w:t xml:space="preserve">что в отношении </w:t>
      </w:r>
      <w:r>
        <w:t xml:space="preserve">меня </w:t>
      </w:r>
      <w:r>
        <w:rPr>
          <w:iCs/>
        </w:rPr>
        <w:t xml:space="preserve">[</w:t>
      </w:r>
      <w:r>
        <w:rPr>
          <w:shd w:val="clear" w:color="auto" w:fill="d9d9d9" w:themeFill="background1" w:themeFillShade="D9"/>
        </w:rPr>
        <w:t xml:space="preserve">для физических лиц</w:t>
      </w:r>
      <w:r>
        <w:rPr>
          <w:iCs/>
        </w:rPr>
        <w:t xml:space="preserve">]</w:t>
      </w:r>
      <w:r>
        <w:t xml:space="preserve"> / </w:t>
      </w:r>
      <w:r>
        <w:rPr>
          <w:iCs/>
        </w:rPr>
        <w:t xml:space="preserve">нашей организации [</w:t>
      </w:r>
      <w:r>
        <w:rPr>
          <w:shd w:val="clear" w:color="auto" w:fill="d9d9d9" w:themeFill="background1" w:themeFillShade="D9"/>
        </w:rPr>
        <w:t xml:space="preserve">для юридических лиц</w:t>
      </w:r>
      <w:r>
        <w:rPr>
          <w:iCs/>
        </w:rPr>
        <w:t xml:space="preserve">] не проводится процедура ликвидации, отсутствует решение арбитражного суда о признании несостоятельным (банкротом) </w:t>
      </w:r>
      <w:r>
        <w:t xml:space="preserve">или об открытии конкурсного производства</w:t>
      </w:r>
      <w:r>
        <w:rPr>
          <w:iCs/>
        </w:rPr>
        <w:t xml:space="preserve">, деятельность не </w:t>
      </w:r>
      <w:r>
        <w:rPr>
          <w:iCs/>
        </w:rPr>
        <w:t xml:space="preserve">приостановлена, а также, что размер задолженности по налогам, сборам и иным обязательным платежам в бюджеты </w:t>
      </w:r>
      <w:r>
        <w:t xml:space="preserve">бюджетной системы Российской Федерации</w:t>
      </w:r>
      <w:r>
        <w:rPr>
          <w:iCs/>
        </w:rPr>
        <w:t xml:space="preserve"> за прошедший календарный год не превышает 25% (двадцати пяти процентов) балансовой стоимости активов по данны</w:t>
      </w:r>
      <w:r>
        <w:rPr>
          <w:iCs/>
        </w:rPr>
        <w:t xml:space="preserve">м бухгалтерской отчетности за последний завершенный отчетный период.</w:t>
      </w:r>
      <w:r>
        <w:rPr>
          <w:iCs/>
        </w:rPr>
      </w:r>
      <w:r>
        <w:rPr>
          <w:iCs/>
        </w:rPr>
      </w:r>
    </w:p>
    <w:p>
      <w:pPr>
        <w:ind w:firstLine="567"/>
        <w:spacing w:before="120" w:after="0"/>
      </w:pPr>
      <w:r>
        <w:t xml:space="preserve">Также подтверждаем отсутствие у меня </w:t>
      </w:r>
      <w:r>
        <w:rPr>
          <w:iCs/>
        </w:rPr>
        <w:t xml:space="preserve">[</w:t>
      </w:r>
      <w:r>
        <w:rPr>
          <w:shd w:val="clear" w:color="auto" w:fill="d9d9d9" w:themeFill="background1" w:themeFillShade="D9"/>
        </w:rPr>
        <w:t xml:space="preserve">для физических лиц</w:t>
      </w:r>
      <w:r>
        <w:rPr>
          <w:iCs/>
        </w:rPr>
        <w:t xml:space="preserve">]</w:t>
      </w:r>
      <w:r>
        <w:t xml:space="preserve"> / у руководителя, членов коллегиального исполнительного органа или главного бухгалтера </w:t>
      </w:r>
      <w:r>
        <w:rPr>
          <w:iCs/>
        </w:rPr>
        <w:t xml:space="preserve">нашей организации [</w:t>
      </w:r>
      <w:r>
        <w:rPr>
          <w:shd w:val="clear" w:color="auto" w:fill="d9d9d9" w:themeFill="background1" w:themeFillShade="D9"/>
        </w:rPr>
        <w:t xml:space="preserve">для юридических лиц</w:t>
      </w:r>
      <w:r>
        <w:rPr>
          <w:iCs/>
        </w:rPr>
        <w:t xml:space="preserve">], </w:t>
      </w:r>
      <w:r>
        <w:t xml:space="preserve">о</w:t>
      </w:r>
      <w:r>
        <w:t xml:space="preserve">граничения или лишения дееспособности, неснятой или непогашенной судимости за преступления в сфере экономики, а также неприменение в отношении указанных физических лиц наказания в виде лишения права занимать определенные должности или заниматься определенн</w:t>
      </w:r>
      <w:r>
        <w:t xml:space="preserve">ой деятельностью, которые связаны с исполнением договора, и административного наказания в виде дисквалификации.</w:t>
      </w:r>
      <w:r/>
    </w:p>
    <w:p>
      <w:pPr>
        <w:ind w:firstLine="567"/>
        <w:spacing w:before="120" w:after="0"/>
      </w:pPr>
      <w:r>
        <w:t xml:space="preserve">В соответствии с обязательными требованиями к участникам закупки подтверждаем наличие у нас специальных допусков, разрешений, лицензий и прочих </w:t>
      </w:r>
      <w:r>
        <w:t xml:space="preserve">разрешительных документов в соответствии с законодательством для исполнения обязательств по предмету договора.</w:t>
      </w:r>
      <w:r/>
    </w:p>
    <w:p>
      <w:pPr>
        <w:ind w:firstLine="567"/>
        <w:spacing w:before="120" w:after="0"/>
      </w:pPr>
      <w:r>
        <w:t xml:space="preserve">В соответствии с дополнительными требованиями к участникам закупки подтверждаем отсутствие сведений обо мне </w:t>
      </w:r>
      <w:r>
        <w:rPr>
          <w:iCs/>
        </w:rPr>
        <w:t xml:space="preserve">[</w:t>
      </w:r>
      <w:r>
        <w:rPr>
          <w:shd w:val="clear" w:color="auto" w:fill="d9d9d9" w:themeFill="background1" w:themeFillShade="D9"/>
        </w:rPr>
        <w:t xml:space="preserve">для физических лиц</w:t>
      </w:r>
      <w:r>
        <w:rPr>
          <w:iCs/>
        </w:rPr>
        <w:t xml:space="preserve">]</w:t>
      </w:r>
      <w:r>
        <w:t xml:space="preserve">/ </w:t>
      </w:r>
      <w:r>
        <w:rPr>
          <w:iCs/>
        </w:rPr>
        <w:t xml:space="preserve">нашей организации [</w:t>
      </w:r>
      <w:r>
        <w:rPr>
          <w:shd w:val="clear" w:color="auto" w:fill="d9d9d9" w:themeFill="background1" w:themeFillShade="D9"/>
        </w:rPr>
        <w:t xml:space="preserve">для юридических лиц</w:t>
      </w:r>
      <w:r>
        <w:rPr>
          <w:iCs/>
        </w:rPr>
        <w:t xml:space="preserve">], </w:t>
      </w:r>
      <w:r>
        <w:t xml:space="preserve">в реестре недобросовестных поставщиков (подрядчиков, исполнителей), предусмотренном Федеральным законом от 18.07.2011 № 223-ФЗ «О закупках товаров, работ, услуг отдельными видами юридических лиц»</w:t>
      </w:r>
      <w:r>
        <w:rPr>
          <w:iCs/>
        </w:rPr>
        <w:t xml:space="preserve"> и</w:t>
      </w:r>
      <w:r>
        <w:t xml:space="preserve"> в реестре недобро</w:t>
      </w:r>
      <w:r>
        <w:t xml:space="preserve">совестных поставщиков, предусмотренном Федеральным законом от 05.04.2013 N 44-ФЗ «О контрактной системе в сфере закупок товаров, работ, услуг для обеспечения государственных и муниципальных нужд».</w:t>
      </w:r>
      <w:r/>
    </w:p>
    <w:p>
      <w:pPr>
        <w:ind w:firstLine="567"/>
        <w:spacing w:before="120" w:after="0"/>
        <w:rPr>
          <w:iCs/>
        </w:rPr>
      </w:pPr>
      <w:r>
        <w:rPr>
          <w:iCs/>
        </w:rPr>
        <w:t xml:space="preserve">В случае признания нас победителем закупки, а также в случа</w:t>
      </w:r>
      <w:r>
        <w:rPr>
          <w:iCs/>
        </w:rPr>
        <w:t xml:space="preserve">е принятия заказчиком решения о заключении с нами договора как </w:t>
      </w:r>
      <w:r>
        <w:t xml:space="preserve">с единственным участником конкурентной закупки </w:t>
      </w:r>
      <w:r>
        <w:rPr>
          <w:iCs/>
        </w:rPr>
        <w:t xml:space="preserve">мы берем на себя обязательства подписать со своей стороны договор в соответствии с требованиями документации о закупке и условиями нашей заявки.</w:t>
      </w:r>
      <w:r>
        <w:rPr>
          <w:iCs/>
        </w:rPr>
      </w:r>
      <w:r>
        <w:rPr>
          <w:iCs/>
        </w:rPr>
      </w:r>
    </w:p>
    <w:p>
      <w:pPr>
        <w:ind w:firstLine="567"/>
        <w:spacing w:before="120"/>
        <w:rPr>
          <w:iCs/>
        </w:rPr>
      </w:pPr>
      <w:r>
        <w:rPr>
          <w:iCs/>
        </w:rPr>
        <w:t xml:space="preserve">В случае если нашей заявке будет присвоен второй номер, а победитель закупки будет отстранен либо признан уклонившимся от заключения договора с заказчиком, мы обязуемся подписать данный договор в соответствии с требованиями документации о закупке и условия</w:t>
      </w:r>
      <w:r>
        <w:rPr>
          <w:iCs/>
        </w:rPr>
        <w:t xml:space="preserve">ми нашей заявки.</w:t>
      </w:r>
      <w:r>
        <w:rPr>
          <w:iCs/>
        </w:rPr>
      </w:r>
      <w:r>
        <w:rPr>
          <w:iCs/>
        </w:rPr>
      </w:r>
    </w:p>
    <w:p>
      <w:pPr>
        <w:ind w:firstLine="567"/>
        <w:spacing w:after="0"/>
      </w:pPr>
      <w:r>
        <w:rPr>
          <w:iCs/>
        </w:rPr>
        <w:t xml:space="preserve">В соответствии с законодательством, а также учредительными документами решение об </w:t>
      </w:r>
      <w:r>
        <w:t xml:space="preserve">одобрении и/или о совершении крупной сделки в связи с заключением договора на условиях нашей заявки не требуется.</w:t>
      </w:r>
      <w:r>
        <w:rPr>
          <w:rStyle w:val="1347"/>
        </w:rPr>
        <w:footnoteReference w:id="18"/>
      </w:r>
      <w:r/>
    </w:p>
    <w:p>
      <w:pPr>
        <w:ind w:firstLine="567"/>
        <w:spacing w:after="0"/>
      </w:pPr>
      <w:r>
        <w:rPr>
          <w:iCs/>
        </w:rPr>
        <w:t xml:space="preserve">В соответствии с законодательством, а такж</w:t>
      </w:r>
      <w:r>
        <w:rPr>
          <w:iCs/>
        </w:rPr>
        <w:t xml:space="preserve">е учредительными документами решение об </w:t>
      </w:r>
      <w:r>
        <w:t xml:space="preserve">одобрении и/или о совершении сделки с заинтересованностью в связи с заключением договора на условиях нашей заявки не требуется.</w:t>
      </w:r>
      <w:r>
        <w:rPr>
          <w:rStyle w:val="1347"/>
        </w:rPr>
        <w:footnoteReference w:id="19"/>
      </w:r>
      <w:r/>
    </w:p>
    <w:p>
      <w:pPr>
        <w:ind w:firstLine="567"/>
        <w:spacing w:after="0"/>
      </w:pPr>
      <w:r>
        <w:rPr>
          <w:iCs/>
        </w:rPr>
        <w:t xml:space="preserve">В соответствии с законодательством, а также учредительными документами, указаниями собс</w:t>
      </w:r>
      <w:r>
        <w:rPr>
          <w:iCs/>
        </w:rPr>
        <w:t xml:space="preserve">твенника, иных органов управления подтверждает соблюдение порядка совершения сделки, в том числе получения предварительного согласия (одобрения, согласования) сделки и соблюдения всех требуемых корпоративных требований.</w:t>
      </w:r>
      <w:r>
        <w:rPr>
          <w:rStyle w:val="1347"/>
          <w:iCs/>
        </w:rPr>
        <w:footnoteReference w:id="20"/>
      </w:r>
      <w:r/>
    </w:p>
    <w:p>
      <w:pPr>
        <w:ind w:firstLine="567"/>
        <w:spacing w:before="120" w:after="0"/>
        <w:rPr>
          <w:iCs/>
        </w:rPr>
      </w:pPr>
      <w:r>
        <w:t xml:space="preserve">Настоящей заявкой гарантируем досто</w:t>
      </w:r>
      <w:r>
        <w:t xml:space="preserve">верность представленной нами информации и подтверждаем право Организатора закупки (Заказчика), не противоречащее требованию о формировании равных для всех Участников закупки условий, запрашивать у нас, в уполномоченных органах власти и в упомянутых в нашей</w:t>
      </w:r>
      <w:r>
        <w:t xml:space="preserve"> заявке юридических и физических лиц информацию, уточняющую представленные нами в ней сведения.</w:t>
      </w:r>
      <w:r>
        <w:rPr>
          <w:iCs/>
        </w:rPr>
      </w:r>
      <w:r>
        <w:rPr>
          <w:iCs/>
        </w:rPr>
      </w:r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</w:pPr>
      <w:r>
        <w:rPr>
          <w:b/>
          <w:bCs/>
        </w:rPr>
        <w:t xml:space="preserve">м.п.</w:t>
      </w:r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firstLine="567"/>
        <w:jc w:val="left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pStyle w:val="1457"/>
        <w:numPr>
          <w:ilvl w:val="0"/>
          <w:numId w:val="45"/>
        </w:numPr>
        <w:ind w:left="0" w:firstLine="709"/>
        <w:jc w:val="both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pStyle w:val="1457"/>
        <w:numPr>
          <w:ilvl w:val="0"/>
          <w:numId w:val="45"/>
        </w:numPr>
        <w:ind w:left="0" w:firstLine="709"/>
        <w:jc w:val="both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/>
    </w:p>
    <w:p>
      <w:pPr>
        <w:pStyle w:val="1457"/>
        <w:numPr>
          <w:ilvl w:val="0"/>
          <w:numId w:val="45"/>
        </w:numPr>
        <w:ind w:left="0" w:firstLine="709"/>
        <w:jc w:val="both"/>
      </w:pPr>
      <w:r>
        <w:t xml:space="preserve">Участн</w:t>
      </w:r>
      <w:r>
        <w:t xml:space="preserve">ик закупки приводит 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индивидуального предпринимателя.</w:t>
      </w:r>
      <w:r/>
    </w:p>
    <w:p>
      <w:pPr>
        <w:pStyle w:val="1457"/>
        <w:numPr>
          <w:ilvl w:val="0"/>
          <w:numId w:val="45"/>
        </w:numPr>
        <w:ind w:left="0" w:firstLine="709"/>
        <w:jc w:val="both"/>
      </w:pPr>
      <w:r>
        <w:t xml:space="preserve">Форма составляется на фирменном </w:t>
      </w:r>
      <w:r>
        <w:t xml:space="preserve">бланке Участника закупки.</w:t>
      </w:r>
      <w:r/>
    </w:p>
    <w:p>
      <w:pPr>
        <w:pStyle w:val="1457"/>
        <w:numPr>
          <w:ilvl w:val="0"/>
          <w:numId w:val="45"/>
        </w:numPr>
        <w:ind w:left="0" w:firstLine="709"/>
        <w:jc w:val="both"/>
      </w:pPr>
      <w:r>
        <w:rPr>
          <w:b/>
        </w:rPr>
        <w:t xml:space="preserve">Участник закупки должен приложить файл данной формы, выполненный в редактируемом формате</w:t>
      </w:r>
      <w:r>
        <w:t xml:space="preserve">.</w:t>
      </w:r>
      <w:r>
        <w:rPr>
          <w:b/>
          <w:bCs/>
        </w:rPr>
        <w:br w:type="page" w:clear="all"/>
      </w:r>
      <w:r/>
    </w:p>
    <w:p>
      <w:pPr>
        <w:pStyle w:val="1145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172" w:name="_Toc49"/>
      <w:r>
        <w:rPr>
          <w:sz w:val="24"/>
          <w:szCs w:val="24"/>
        </w:rPr>
        <w:t xml:space="preserve">ФОРМА ПЛАН РАСПРЕДЕЛЕНИЯ ОБЪЕМОВ ВЫПОЛНЕНИЯ РАБОТ/ОКАЗАНИЯ УСЛУГ МЕЖДУ ЧЛЕНАМИ КОЛЛЕКТИВНОГО УЧАСТНИКА (КОНСОРЦИУМА, ПРОСТОГО ТОВАРИЩЕСТВА)</w:t>
      </w:r>
      <w:bookmarkEnd w:id="17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/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left="-142"/>
        <w:jc w:val="center"/>
        <w:spacing w:after="0"/>
        <w:rPr>
          <w:b/>
          <w:bCs/>
        </w:rPr>
      </w:pPr>
      <w:r>
        <w:rPr>
          <w:b/>
        </w:rPr>
        <w:t xml:space="preserve">План распределения объемов выполнения работ/оказания услуг между членами коллективного участника (консорциума, простого товарищества)</w:t>
      </w:r>
      <w:r>
        <w:rPr>
          <w:b/>
          <w:bCs/>
        </w:rPr>
      </w:r>
      <w:r>
        <w:rPr>
          <w:b/>
          <w:bCs/>
        </w:rPr>
      </w:r>
    </w:p>
    <w:p>
      <w:pPr>
        <w:ind w:left="-142"/>
        <w:spacing w:after="0"/>
      </w:pPr>
      <w:r/>
      <w:r/>
    </w:p>
    <w:p>
      <w:pPr>
        <w:ind w:left="-142"/>
        <w:spacing w:after="0"/>
      </w:pPr>
      <w:r/>
      <w:r/>
    </w:p>
    <w:p>
      <w:pPr>
        <w:spacing w:after="0"/>
      </w:pPr>
      <w:r>
        <w:t xml:space="preserve">Наименование закупки __________________________________ Лот № _________________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____________________________________</w:t>
      </w:r>
      <w:r/>
    </w:p>
    <w:p>
      <w:pPr>
        <w:spacing w:after="0"/>
      </w:pPr>
      <w:r>
        <w:t xml:space="preserve">Наименование участника закупки (Лидера коллективного участника): _________________</w:t>
      </w:r>
      <w:r/>
    </w:p>
    <w:p>
      <w:pPr>
        <w:spacing w:after="0"/>
      </w:pPr>
      <w:r>
        <w:t xml:space="preserve">Юридический адрес участника закупки (Лидера коллективного участника): ____________</w:t>
      </w:r>
      <w:r/>
    </w:p>
    <w:p>
      <w:pPr>
        <w:spacing w:before="240" w:after="0"/>
      </w:pPr>
      <w:r>
        <w:t xml:space="preserve">Наименование организации члена коллективного участника </w:t>
      </w:r>
      <w:r>
        <w:rPr>
          <w:i/>
        </w:rPr>
        <w:t xml:space="preserve">(№1)</w:t>
      </w:r>
      <w:r>
        <w:t xml:space="preserve">: ____________________</w:t>
      </w:r>
      <w:r/>
    </w:p>
    <w:p>
      <w:pPr>
        <w:spacing w:after="0"/>
      </w:pPr>
      <w:r>
        <w:t xml:space="preserve">Юридический адрес организации члена коллективного участника: ____________________</w:t>
      </w:r>
      <w:r/>
    </w:p>
    <w:p>
      <w:pPr>
        <w:spacing w:before="240" w:after="0"/>
      </w:pPr>
      <w:r>
        <w:t xml:space="preserve">Наименование организации члена коллективного участника </w:t>
      </w:r>
      <w:r>
        <w:rPr>
          <w:i/>
        </w:rPr>
        <w:t xml:space="preserve">(№2)</w:t>
      </w:r>
      <w:r>
        <w:t xml:space="preserve">: ____________________</w:t>
      </w:r>
      <w:r/>
    </w:p>
    <w:p>
      <w:pPr>
        <w:spacing w:after="0"/>
      </w:pPr>
      <w:r>
        <w:t xml:space="preserve">Юридически</w:t>
      </w:r>
      <w:r>
        <w:t xml:space="preserve">й адрес организации члена коллективного участника: ____________________</w:t>
      </w:r>
      <w:r/>
    </w:p>
    <w:p>
      <w:pPr>
        <w:spacing w:before="240" w:after="0"/>
      </w:pPr>
      <w:r>
        <w:t xml:space="preserve">Наименование организации члена коллективного участника </w:t>
      </w:r>
      <w:r>
        <w:rPr>
          <w:i/>
        </w:rPr>
        <w:t xml:space="preserve">(№Х)</w:t>
      </w:r>
      <w:r>
        <w:t xml:space="preserve">: ____________________</w:t>
      </w:r>
      <w:r/>
    </w:p>
    <w:p>
      <w:pPr>
        <w:spacing w:after="0"/>
      </w:pPr>
      <w:r>
        <w:t xml:space="preserve">Юридический адрес организации члена коллективного участника: ____________________</w:t>
      </w:r>
      <w:r/>
    </w:p>
    <w:p>
      <w:pPr>
        <w:spacing w:after="0"/>
      </w:pPr>
      <w:r/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645"/>
        <w:gridCol w:w="1760"/>
        <w:gridCol w:w="1985"/>
        <w:gridCol w:w="3402"/>
        <w:gridCol w:w="1556"/>
      </w:tblGrid>
      <w:tr>
        <w:tblPrEx/>
        <w:trPr>
          <w:trHeight w:val="1988"/>
        </w:trPr>
        <w:tc>
          <w:tcPr>
            <w:tcW w:w="645" w:type="dxa"/>
            <w:vAlign w:val="center"/>
            <w:textDirection w:val="lrTb"/>
            <w:noWrap w:val="false"/>
          </w:tcPr>
          <w:p>
            <w:pPr>
              <w:pStyle w:val="1444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1444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 xml:space="preserve">работ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444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организации, выполняющий данный объем работ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44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Стоимость работ и поставок в % от общей стоимости работ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44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 xml:space="preserve">(выражается исключительно в процентах от общей стоимости работ предлагаемой участником в ценовом предложении)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44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Сроки выполнения (начало и </w:t>
            </w:r>
            <w:r>
              <w:rPr>
                <w:sz w:val="22"/>
                <w:szCs w:val="22"/>
              </w:rPr>
              <w:t xml:space="preserve">окончание)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45" w:type="dxa"/>
            <w:vAlign w:val="center"/>
            <w:textDirection w:val="lrTb"/>
            <w:noWrap w:val="false"/>
          </w:tcPr>
          <w:p>
            <w:pPr>
              <w:pStyle w:val="1446"/>
              <w:numPr>
                <w:ilvl w:val="0"/>
                <w:numId w:val="46"/>
              </w:numPr>
              <w:ind w:left="0"/>
            </w:pPr>
            <w:r/>
            <w:r/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1446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446"/>
            </w:pPr>
            <w:r/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46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46"/>
            </w:pPr>
            <w:r/>
            <w:r/>
          </w:p>
        </w:tc>
      </w:tr>
      <w:tr>
        <w:tblPrEx/>
        <w:trPr/>
        <w:tc>
          <w:tcPr>
            <w:tcW w:w="645" w:type="dxa"/>
            <w:vAlign w:val="center"/>
            <w:textDirection w:val="lrTb"/>
            <w:noWrap w:val="false"/>
          </w:tcPr>
          <w:p>
            <w:pPr>
              <w:pStyle w:val="1446"/>
              <w:numPr>
                <w:ilvl w:val="0"/>
                <w:numId w:val="46"/>
              </w:numPr>
              <w:ind w:left="0"/>
            </w:pPr>
            <w:r/>
            <w:r/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1446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446"/>
            </w:pPr>
            <w:r/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46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46"/>
            </w:pPr>
            <w:r/>
            <w:r/>
          </w:p>
        </w:tc>
      </w:tr>
      <w:tr>
        <w:tblPrEx/>
        <w:trPr/>
        <w:tc>
          <w:tcPr>
            <w:tcW w:w="645" w:type="dxa"/>
            <w:vAlign w:val="center"/>
            <w:textDirection w:val="lrTb"/>
            <w:noWrap w:val="false"/>
          </w:tcPr>
          <w:p>
            <w:pPr>
              <w:pStyle w:val="1446"/>
              <w:ind w:left="0"/>
            </w:pPr>
            <w:r>
              <w:t xml:space="preserve">…</w:t>
            </w:r>
            <w:r/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1446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446"/>
            </w:pPr>
            <w:r/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46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46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ind w:left="57" w:right="57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Итого по Лидеру коллективного Участника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46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46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ind w:left="57" w:right="57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Итого по Члену коллективного Участника № 1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46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46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ind w:left="57" w:right="57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Итого по Члену коллективного Участника № 2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46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46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46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46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pStyle w:val="1446"/>
              <w:jc w:val="center"/>
              <w:rPr>
                <w:b/>
              </w:rPr>
            </w:pPr>
            <w:r>
              <w:rPr>
                <w:b/>
              </w:rPr>
              <w:t xml:space="preserve">ИТОГО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46"/>
              <w:jc w:val="center"/>
              <w:rPr>
                <w:b/>
              </w:rPr>
            </w:pPr>
            <w:r>
              <w:rPr>
                <w:b/>
              </w:rPr>
              <w:t xml:space="preserve">100%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46"/>
              <w:jc w:val="center"/>
              <w:rPr>
                <w:b/>
              </w:rPr>
            </w:pPr>
            <w:r>
              <w:rPr>
                <w:b/>
              </w:rPr>
              <w:t xml:space="preserve">Х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  <w:rPr>
          <w:b/>
          <w:bCs/>
        </w:rPr>
      </w:pPr>
      <w:r>
        <w:rPr>
          <w:b/>
          <w:bCs/>
        </w:rPr>
        <w:t xml:space="preserve">м.п.</w:t>
      </w:r>
      <w:r>
        <w:rPr>
          <w:b/>
          <w:bCs/>
        </w:rPr>
      </w:r>
      <w:r>
        <w:rPr>
          <w:b/>
          <w:bCs/>
        </w:rPr>
      </w:r>
    </w:p>
    <w:p>
      <w:pPr>
        <w:ind w:right="4111"/>
        <w:spacing w:after="0"/>
      </w:pPr>
      <w:r/>
      <w:r/>
    </w:p>
    <w:p>
      <w:pPr>
        <w:spacing w:after="0"/>
      </w:pPr>
      <w:r/>
      <w:r/>
    </w:p>
    <w:p>
      <w:pPr>
        <w:spacing w:after="0"/>
      </w:pPr>
      <w:r/>
      <w:r/>
    </w:p>
    <w:p>
      <w:pPr>
        <w:ind w:firstLine="567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pStyle w:val="1457"/>
        <w:numPr>
          <w:ilvl w:val="0"/>
          <w:numId w:val="47"/>
        </w:numPr>
        <w:ind w:left="0" w:firstLine="709"/>
        <w:jc w:val="both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pStyle w:val="1457"/>
        <w:numPr>
          <w:ilvl w:val="0"/>
          <w:numId w:val="47"/>
        </w:numPr>
        <w:ind w:left="0" w:firstLine="709"/>
        <w:jc w:val="both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/>
    </w:p>
    <w:p>
      <w:pPr>
        <w:pStyle w:val="1457"/>
        <w:numPr>
          <w:ilvl w:val="0"/>
          <w:numId w:val="47"/>
        </w:numPr>
        <w:ind w:left="0" w:firstLine="709"/>
        <w:jc w:val="both"/>
      </w:pPr>
      <w:r>
        <w:t xml:space="preserve">Участник закупки приводит наименования юридического лица и адреса места нахождения, либо фамилию, и</w:t>
      </w:r>
      <w:r>
        <w:t xml:space="preserve">мя, отчество, паспортные данные, адрес прописки (адрес регистрации) физического лица, в том числе индивидуального предпринимателя Лидера коллективного участника.</w:t>
      </w:r>
      <w:r/>
    </w:p>
    <w:p>
      <w:pPr>
        <w:pStyle w:val="1457"/>
        <w:numPr>
          <w:ilvl w:val="0"/>
          <w:numId w:val="47"/>
        </w:numPr>
        <w:ind w:left="0" w:firstLine="709"/>
        <w:jc w:val="both"/>
      </w:pPr>
      <w:r>
        <w:t xml:space="preserve">Участник закупки приводит наименования юридических лиц и адреса мест нахождения, либо фамилии,</w:t>
      </w:r>
      <w:r>
        <w:t xml:space="preserve"> имена, отчества, паспортные данные, адреса прописки (адреса регистрации) физических лиц, в том числе индивидуальных предпринимателей, членов коллективного участника.</w:t>
      </w:r>
      <w:r/>
    </w:p>
    <w:p>
      <w:pPr>
        <w:pStyle w:val="1457"/>
        <w:numPr>
          <w:ilvl w:val="0"/>
          <w:numId w:val="47"/>
        </w:numPr>
        <w:ind w:left="0" w:firstLine="709"/>
        <w:jc w:val="both"/>
      </w:pPr>
      <w:r>
        <w:t xml:space="preserve">Форма составляется на фирменном бланке Участника закупки.</w:t>
      </w:r>
      <w:r/>
    </w:p>
    <w:p>
      <w:pPr>
        <w:pStyle w:val="1457"/>
        <w:numPr>
          <w:ilvl w:val="0"/>
          <w:numId w:val="47"/>
        </w:numPr>
        <w:ind w:left="0" w:firstLine="709"/>
        <w:jc w:val="both"/>
      </w:pPr>
      <w:r>
        <w:rPr>
          <w:b/>
        </w:rPr>
        <w:t xml:space="preserve">Данная форма заполняется и пред</w:t>
      </w:r>
      <w:r>
        <w:rPr>
          <w:b/>
        </w:rPr>
        <w:t xml:space="preserve">оставляется в случае участия коллективных участников</w:t>
      </w:r>
      <w:r>
        <w:t xml:space="preserve">.</w:t>
      </w:r>
      <w:r/>
    </w:p>
    <w:p>
      <w:pPr>
        <w:pStyle w:val="1457"/>
        <w:ind w:left="426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left"/>
        <w:spacing w:after="0"/>
      </w:pPr>
      <w:r>
        <w:br w:type="page" w:clear="all"/>
      </w:r>
      <w:r/>
    </w:p>
    <w:p>
      <w:pPr>
        <w:pStyle w:val="1145"/>
        <w:ind w:left="0" w:firstLine="0"/>
        <w:tabs>
          <w:tab w:val="clear" w:pos="576" w:leader="none"/>
        </w:tabs>
        <w:rPr>
          <w:sz w:val="24"/>
          <w:szCs w:val="24"/>
        </w:rPr>
      </w:pPr>
      <w:r/>
      <w:bookmarkStart w:id="173" w:name="_Toc50"/>
      <w:r>
        <w:rPr>
          <w:sz w:val="24"/>
          <w:szCs w:val="24"/>
        </w:rPr>
        <w:t xml:space="preserve">ФОРМА АНКЕТА УЧАСТНИКА ЗАКУПКИ</w:t>
      </w:r>
      <w:bookmarkEnd w:id="17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left"/>
        <w:spacing w:after="0"/>
      </w:pPr>
      <w:r/>
      <w:r/>
    </w:p>
    <w:p>
      <w:pPr>
        <w:jc w:val="center"/>
        <w:spacing w:after="0"/>
      </w:pPr>
      <w:r>
        <w:rPr>
          <w:b/>
          <w:iCs/>
        </w:rPr>
        <w:t xml:space="preserve">АНКЕТА УЧАСТНИКА</w:t>
      </w:r>
      <w:r/>
    </w:p>
    <w:p>
      <w:pPr>
        <w:jc w:val="left"/>
        <w:spacing w:after="0"/>
      </w:pPr>
      <w:r/>
      <w:r/>
    </w:p>
    <w:p>
      <w:pPr>
        <w:jc w:val="left"/>
        <w:spacing w:after="0"/>
      </w:pPr>
      <w:r>
        <w:t xml:space="preserve">Наименование закупки _______________________________________ Лот № ____________</w:t>
      </w:r>
      <w:r/>
    </w:p>
    <w:p>
      <w:pPr>
        <w:spacing w:after="0"/>
      </w:pPr>
      <w:r>
        <w:t xml:space="preserve">Номер извещения о проведении закупки в ЕИС: ____________________</w:t>
      </w:r>
      <w:r>
        <w:t xml:space="preserve">________________</w:t>
      </w:r>
      <w:r/>
    </w:p>
    <w:p>
      <w:pPr>
        <w:spacing w:after="0"/>
      </w:pPr>
      <w:r>
        <w:t xml:space="preserve">Наименование участника закупки: ________________________________________________</w:t>
      </w:r>
      <w:r/>
    </w:p>
    <w:p>
      <w:pPr>
        <w:spacing w:after="0"/>
        <w:rPr>
          <w:b/>
          <w:bCs/>
        </w:rPr>
      </w:pPr>
      <w:r>
        <w:t xml:space="preserve">Юридический адрес (место нахождения) участника закупки: _________________________</w:t>
      </w:r>
      <w:r>
        <w:rPr>
          <w:b/>
          <w:bCs/>
        </w:rPr>
      </w:r>
      <w:r>
        <w:rPr>
          <w:b/>
          <w:bCs/>
        </w:rPr>
      </w:r>
    </w:p>
    <w:p>
      <w:pPr>
        <w:ind w:firstLine="567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567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000" w:firstRow="0" w:lastRow="0" w:firstColumn="0" w:lastColumn="0" w:noHBand="0" w:noVBand="0"/>
      </w:tblPr>
      <w:tblGrid>
        <w:gridCol w:w="737"/>
        <w:gridCol w:w="5869"/>
        <w:gridCol w:w="2968"/>
      </w:tblGrid>
      <w:tr>
        <w:tblPrEx/>
        <w:trPr>
          <w:cantSplit/>
          <w:trHeight w:val="240"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№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Наименование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Сведения об Участнике закупки</w:t>
            </w:r>
            <w:r/>
          </w:p>
        </w:tc>
      </w:tr>
      <w:tr>
        <w:tblPrEx/>
        <w:trPr>
          <w:cantSplit/>
          <w:trHeight w:val="471"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Фирменное наименование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2.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Организационно - правовая форма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3.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</w:t>
            </w:r>
            <w:r>
              <w:t xml:space="preserve">и)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4.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Стоимость основных фондов (по балансу последнего завершенного периода)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5.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Свидетельство о внесении в Единый государственный реестр юридических лиц/Единый государственный реестр индивидуальных предпринимателей (дата и номер, кем выдано)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6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Виды деятельности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7.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ИНН 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8.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КПП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9.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Сведения о среднесписочной численности (на последнюю отчетную дату)</w:t>
            </w:r>
            <w:r>
              <w:rPr>
                <w:vertAlign w:val="superscript"/>
              </w:rPr>
              <w:footnoteReference w:id="21"/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10.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Сведения о наличии (отсутствии) нарушений требований Налогового кодекса РФ (в текущем году и двум предшествующим годам)</w:t>
            </w:r>
            <w:r>
              <w:rPr>
                <w:vertAlign w:val="superscript"/>
              </w:rPr>
              <w:footnoteReference w:id="22"/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11.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Сведения о наличии (отсутствии) просроченных невыполненных обязательств   перед ГК «Россети» (при наличии, указать сумму и наименование компании)</w:t>
            </w:r>
            <w:r>
              <w:rPr>
                <w:vertAlign w:val="superscript"/>
              </w:rPr>
              <w:footnoteReference w:id="23"/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12.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>
              <w:rPr>
                <w:vertAlign w:val="superscript"/>
              </w:rPr>
              <w:footnoteReference w:id="24"/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13.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Юридич</w:t>
            </w:r>
            <w:r>
              <w:t xml:space="preserve">еский адрес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14.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Почтовый адрес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15.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Фактическое местоположение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16.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Филиалы: перечислить наименования и почтовые адреса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17.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18.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Телефоны Участника закупки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  <w:trHeight w:val="116"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19.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Факс Участника закупки (с указанием кода города)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20.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Адрес электронной почты Участника закупки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21.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Фамилия, Имя и Отчество руководителя Участника, имеющего право подписи согласно учредительным документам Участника закупки, с указанием должности и контактного телефона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22.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Фамилия, Имя и Отчество ответственного лица Участника закупки с указанием должности и контактного телефона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</w:pPr>
      <w:r>
        <w:rPr>
          <w:b/>
          <w:bCs/>
        </w:rPr>
        <w:t xml:space="preserve">м.п.</w:t>
      </w:r>
      <w:r/>
    </w:p>
    <w:p>
      <w:pPr>
        <w:spacing w:after="0"/>
      </w:pPr>
      <w:r/>
      <w:r/>
    </w:p>
    <w:p>
      <w:pPr>
        <w:spacing w:after="0"/>
      </w:pPr>
      <w:r/>
      <w:r/>
    </w:p>
    <w:p>
      <w:pPr>
        <w:ind w:firstLine="567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pStyle w:val="1457"/>
        <w:numPr>
          <w:ilvl w:val="0"/>
          <w:numId w:val="48"/>
        </w:numPr>
        <w:ind w:left="0" w:firstLine="709"/>
        <w:jc w:val="both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pStyle w:val="1457"/>
        <w:numPr>
          <w:ilvl w:val="0"/>
          <w:numId w:val="48"/>
        </w:numPr>
        <w:ind w:left="0" w:firstLine="709"/>
        <w:jc w:val="both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/>
    </w:p>
    <w:p>
      <w:pPr>
        <w:pStyle w:val="1457"/>
        <w:numPr>
          <w:ilvl w:val="0"/>
          <w:numId w:val="48"/>
        </w:numPr>
        <w:ind w:left="0" w:firstLine="709"/>
        <w:jc w:val="both"/>
      </w:pPr>
      <w:r>
        <w:t xml:space="preserve">Участн</w:t>
      </w:r>
      <w:r>
        <w:t xml:space="preserve">ик закупки приводит 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индивидуального предпринимателя.</w:t>
      </w:r>
      <w:r/>
    </w:p>
    <w:p>
      <w:pPr>
        <w:pStyle w:val="1457"/>
        <w:numPr>
          <w:ilvl w:val="0"/>
          <w:numId w:val="48"/>
        </w:numPr>
        <w:ind w:left="0" w:firstLine="709"/>
        <w:jc w:val="both"/>
      </w:pPr>
      <w:r>
        <w:t xml:space="preserve">Форма составляется на фирменном </w:t>
      </w:r>
      <w:r>
        <w:t xml:space="preserve">бланке Участника закупки.</w:t>
      </w:r>
      <w:r/>
    </w:p>
    <w:p>
      <w:pPr>
        <w:pStyle w:val="1457"/>
        <w:numPr>
          <w:ilvl w:val="0"/>
          <w:numId w:val="48"/>
        </w:numPr>
        <w:ind w:left="0" w:firstLine="709"/>
        <w:jc w:val="both"/>
      </w:pPr>
      <w:r>
        <w:t xml:space="preserve">Участник закупки должен заполнить приведенную выше первую таблицу по всем позициям. В случае отсутствия каких-либо данных указать слово «нет данных».</w:t>
      </w:r>
      <w:r/>
    </w:p>
    <w:p>
      <w:pPr>
        <w:pStyle w:val="1457"/>
        <w:numPr>
          <w:ilvl w:val="0"/>
          <w:numId w:val="48"/>
        </w:numPr>
        <w:ind w:left="0" w:firstLine="709"/>
        <w:jc w:val="both"/>
      </w:pPr>
      <w:r>
        <w:t xml:space="preserve">В №п/п 21 «Банковские реквизиты…» указываются реквизиты, которые будут использов</w:t>
      </w:r>
      <w:r>
        <w:t xml:space="preserve">аны при заключении Договора.</w:t>
      </w:r>
      <w:r/>
    </w:p>
    <w:p>
      <w:pPr>
        <w:pStyle w:val="1457"/>
        <w:numPr>
          <w:ilvl w:val="0"/>
          <w:numId w:val="48"/>
        </w:numPr>
        <w:ind w:left="0" w:firstLine="709"/>
        <w:jc w:val="both"/>
      </w:pPr>
      <w:r>
        <w:t xml:space="preserve">Графа 12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</w:t>
      </w:r>
      <w:r>
        <w:t xml:space="preserve">ости Российской Федерации» заполняется в соответствии с ниже приведенным </w:t>
      </w:r>
      <w:r>
        <w:rPr>
          <w:b/>
        </w:rPr>
        <w:t xml:space="preserve">Перечнем публичных должностных лиц</w:t>
      </w:r>
      <w:r>
        <w:t xml:space="preserve">.</w:t>
      </w:r>
      <w:r/>
    </w:p>
    <w:p>
      <w:pPr>
        <w:pStyle w:val="1457"/>
        <w:numPr>
          <w:ilvl w:val="0"/>
          <w:numId w:val="48"/>
        </w:numPr>
        <w:ind w:left="0" w:firstLine="709"/>
        <w:jc w:val="both"/>
      </w:pPr>
      <w:r>
        <w:t xml:space="preserve">информация по вопросам 1, 2, 3 и 4 заполняется в соответствии с требованиями, указанными непосредственно в данных вопросах.</w:t>
      </w:r>
      <w:r/>
    </w:p>
    <w:p>
      <w:pPr>
        <w:pStyle w:val="1457"/>
        <w:numPr>
          <w:ilvl w:val="0"/>
          <w:numId w:val="48"/>
        </w:numPr>
        <w:ind w:left="0" w:firstLine="709"/>
        <w:jc w:val="both"/>
      </w:pPr>
      <w:r>
        <w:rPr>
          <w:b/>
        </w:rPr>
        <w:t xml:space="preserve">Участник закупки должен</w:t>
      </w:r>
      <w:r>
        <w:rPr>
          <w:b/>
        </w:rPr>
        <w:t xml:space="preserve"> приложить файл данной формы, выполненный в редактируемом формате</w:t>
      </w:r>
      <w:r>
        <w:t xml:space="preserve">.</w:t>
      </w:r>
      <w:r/>
    </w:p>
    <w:p>
      <w:pPr>
        <w:ind w:firstLine="539"/>
        <w:jc w:val="right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</w:p>
    <w:p>
      <w:pPr>
        <w:ind w:firstLine="539"/>
        <w:jc w:val="right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</w:p>
    <w:p>
      <w:pPr>
        <w:ind w:firstLine="539"/>
        <w:jc w:val="right"/>
        <w:rPr>
          <w:b/>
          <w:bCs/>
          <w:sz w:val="21"/>
          <w:szCs w:val="21"/>
        </w:rPr>
      </w:pPr>
      <w:r>
        <w:rPr>
          <w:b/>
          <w:sz w:val="21"/>
          <w:szCs w:val="21"/>
        </w:rPr>
        <w:t xml:space="preserve">Приложение к Анкете Участника закупки</w:t>
      </w: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</w:p>
    <w:p>
      <w:pPr>
        <w:ind w:firstLine="539"/>
        <w:jc w:val="right"/>
        <w:rPr>
          <w:b/>
          <w:sz w:val="21"/>
          <w:szCs w:val="21"/>
        </w:rPr>
      </w:pPr>
      <w:r>
        <w:rPr>
          <w:b/>
          <w:sz w:val="21"/>
          <w:szCs w:val="21"/>
        </w:rPr>
      </w:r>
      <w:r>
        <w:rPr>
          <w:b/>
          <w:sz w:val="21"/>
          <w:szCs w:val="21"/>
        </w:rPr>
      </w:r>
      <w:r>
        <w:rPr>
          <w:b/>
          <w:sz w:val="21"/>
          <w:szCs w:val="21"/>
        </w:rPr>
      </w:r>
    </w:p>
    <w:p>
      <w:pPr>
        <w:ind w:firstLine="539"/>
        <w:jc w:val="center"/>
        <w:spacing w:line="276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Перечень публичных должностных лиц</w:t>
      </w:r>
      <w:r>
        <w:rPr>
          <w:b/>
          <w:sz w:val="21"/>
          <w:szCs w:val="21"/>
        </w:rPr>
      </w:r>
      <w:r>
        <w:rPr>
          <w:b/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Организациям и их работникам следует принимать во внимание, что к ним могут применяться нормы и санкции, установл</w:t>
      </w:r>
      <w:r>
        <w:rPr>
          <w:sz w:val="21"/>
          <w:szCs w:val="21"/>
        </w:rPr>
        <w:t xml:space="preserve">енные не только российским, но и зарубежным антикоррупционным законодательством, в соответствии с </w:t>
      </w:r>
      <w:hyperlink r:id="rId54" w:tooltip="consultantplus://offline/ref=B7E04B8F5BC345C22463EADCAE81D93CF0C11310A0643D58FEE589F49Ff2C9L" w:history="1">
        <w:r>
          <w:rPr>
            <w:sz w:val="21"/>
            <w:szCs w:val="21"/>
          </w:rPr>
          <w:t xml:space="preserve">Конвенцией</w:t>
        </w:r>
      </w:hyperlink>
      <w:r>
        <w:rPr>
          <w:sz w:val="21"/>
          <w:szCs w:val="21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Российская Федерация ратифицировала </w:t>
      </w:r>
      <w:hyperlink r:id="rId55" w:tooltip="consultantplus://offline/ref=B7E04B8F5BC345C22463EADCAE81D93CF0C11310A0643D58FEE589F49Ff2C9L" w:history="1">
        <w:r>
          <w:rPr>
            <w:sz w:val="21"/>
            <w:szCs w:val="21"/>
          </w:rPr>
          <w:t xml:space="preserve">Конвенцию</w:t>
        </w:r>
      </w:hyperlink>
      <w:r>
        <w:rPr>
          <w:sz w:val="21"/>
          <w:szCs w:val="21"/>
        </w:rPr>
        <w:t xml:space="preserve"> ООН против коррупции в 2006 году (8 марта 2006 года принят Федеральный </w:t>
      </w:r>
      <w:hyperlink r:id="rId56" w:tooltip="consultantplus://offline/ref=B7E04B8F5BC345C22463EADCAE81D93CF4CA1215A36F6052F6BC85F6f9C8L" w:history="1">
        <w:r>
          <w:rPr>
            <w:sz w:val="21"/>
            <w:szCs w:val="21"/>
          </w:rPr>
          <w:t xml:space="preserve">закон</w:t>
        </w:r>
      </w:hyperlink>
      <w:r>
        <w:rPr>
          <w:sz w:val="21"/>
          <w:szCs w:val="21"/>
        </w:rPr>
        <w:t xml:space="preserve"> № 40-ФЗ «О ратификации Конвенции Организации Объе</w:t>
      </w:r>
      <w:r>
        <w:rPr>
          <w:sz w:val="21"/>
          <w:szCs w:val="21"/>
        </w:rPr>
        <w:t xml:space="preserve">диненных Наций против коррупции»).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1"/>
          <w:szCs w:val="21"/>
          <w:lang w:eastAsia="en-US"/>
        </w:rPr>
        <w:t xml:space="preserve">В соответствии со ст.12 Конвенции одной из мер по предупреждению коррупции является в том числе предупреждение возникновения конфликта интересов посредством установления ограничений на трудоустройство для бывших публичных</w:t>
      </w:r>
      <w:r>
        <w:rPr>
          <w:rFonts w:eastAsia="Calibri"/>
          <w:sz w:val="21"/>
          <w:szCs w:val="21"/>
          <w:lang w:eastAsia="en-US"/>
        </w:rPr>
        <w:t xml:space="preserve"> должностных лиц.</w:t>
      </w:r>
      <w:r>
        <w:rPr>
          <w:rFonts w:eastAsia="Calibri"/>
          <w:sz w:val="21"/>
          <w:szCs w:val="21"/>
          <w:lang w:eastAsia="en-US"/>
        </w:rPr>
      </w:r>
      <w:r>
        <w:rPr>
          <w:rFonts w:eastAsia="Calibri"/>
          <w:sz w:val="21"/>
          <w:szCs w:val="21"/>
          <w:lang w:eastAsia="en-US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1. ПУБЛИЧНОЕ ДОЛЖНОСТНОЕ ЛИЦО (ПДЛ)</w:t>
      </w:r>
      <w:r>
        <w:rPr>
          <w:sz w:val="21"/>
          <w:szCs w:val="21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</w:t>
      </w:r>
      <w:r>
        <w:rPr>
          <w:sz w:val="21"/>
          <w:szCs w:val="21"/>
        </w:rPr>
        <w:t xml:space="preserve">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</w:t>
      </w:r>
      <w:r>
        <w:rPr>
          <w:sz w:val="21"/>
          <w:szCs w:val="21"/>
        </w:rPr>
        <w:t xml:space="preserve">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</w:t>
      </w:r>
      <w:r>
        <w:rPr>
          <w:sz w:val="21"/>
          <w:szCs w:val="21"/>
        </w:rPr>
        <w:t xml:space="preserve"> основании федеральных законов, включенные в перечни должностей, определяемые Президентом Российской Федерации.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2.</w:t>
      </w:r>
      <w:r>
        <w:rPr>
          <w:sz w:val="21"/>
          <w:szCs w:val="21"/>
        </w:rPr>
        <w:t xml:space="preserve"> </w:t>
      </w:r>
      <w:r>
        <w:rPr>
          <w:b/>
          <w:sz w:val="21"/>
          <w:szCs w:val="21"/>
        </w:rPr>
        <w:t xml:space="preserve">ИНОСТРАННОЕ ПУБЛИЧНОЕ ДОЛЖНОСТНОЕ ЛИЦО (ИПДЛ)</w:t>
      </w:r>
      <w:r>
        <w:rPr>
          <w:sz w:val="21"/>
          <w:szCs w:val="21"/>
        </w:rPr>
        <w:t xml:space="preserve"> – физическое лицо, вне зависимости от его гражданства, на которого возложено или было возложен</w:t>
      </w:r>
      <w:r>
        <w:rPr>
          <w:sz w:val="21"/>
          <w:szCs w:val="21"/>
        </w:rPr>
        <w:t xml:space="preserve">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В соответствии с рекомендациями международных организаций и з</w:t>
      </w:r>
      <w:r>
        <w:rPr>
          <w:sz w:val="21"/>
          <w:szCs w:val="21"/>
        </w:rPr>
        <w:t xml:space="preserve">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</w:t>
      </w:r>
      <w:r>
        <w:rPr>
          <w:sz w:val="21"/>
          <w:szCs w:val="21"/>
        </w:rPr>
        <w:t xml:space="preserve">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</w:t>
      </w:r>
      <w:r>
        <w:rPr>
          <w:sz w:val="21"/>
          <w:szCs w:val="21"/>
        </w:rPr>
        <w:t xml:space="preserve">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</w:t>
      </w:r>
      <w:r>
        <w:rPr>
          <w:sz w:val="21"/>
          <w:szCs w:val="21"/>
        </w:rPr>
        <w:t xml:space="preserve">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</w:t>
      </w:r>
      <w:r>
        <w:rPr>
          <w:sz w:val="21"/>
          <w:szCs w:val="21"/>
        </w:rPr>
        <w:t xml:space="preserve">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</w:t>
      </w:r>
      <w:r>
        <w:rPr>
          <w:sz w:val="21"/>
          <w:szCs w:val="21"/>
        </w:rPr>
        <w:t xml:space="preserve">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3. РОССИЙСКИЕ ПУБЛИЧНЫЕ ДОЛЖНОСТНЫЕ ЛИЦА (РПДЛ)</w:t>
      </w:r>
      <w:r>
        <w:rPr>
          <w:sz w:val="21"/>
          <w:szCs w:val="21"/>
        </w:rPr>
        <w:t xml:space="preserve"> – физические лица, находящиеся или принимаемые на обслуживани</w:t>
      </w:r>
      <w:r>
        <w:rPr>
          <w:sz w:val="21"/>
          <w:szCs w:val="21"/>
        </w:rPr>
        <w:t xml:space="preserve">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</w:t>
      </w:r>
      <w:r>
        <w:rPr>
          <w:sz w:val="21"/>
          <w:szCs w:val="21"/>
        </w:rPr>
        <w:t xml:space="preserve">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В соответствии с Указом Президента Российской Федераци</w:t>
      </w:r>
      <w:r>
        <w:rPr>
          <w:sz w:val="21"/>
          <w:szCs w:val="21"/>
        </w:rPr>
        <w:t xml:space="preserve">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</w:t>
      </w:r>
      <w:r>
        <w:rPr>
          <w:sz w:val="21"/>
          <w:szCs w:val="21"/>
        </w:rPr>
        <w:t xml:space="preserve">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</w:t>
      </w:r>
      <w:r>
        <w:rPr>
          <w:sz w:val="21"/>
          <w:szCs w:val="21"/>
        </w:rPr>
        <w:t xml:space="preserve">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</w:t>
      </w:r>
      <w:r>
        <w:rPr>
          <w:sz w:val="21"/>
          <w:szCs w:val="21"/>
        </w:rPr>
        <w:t xml:space="preserve">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</w:t>
      </w:r>
      <w:r>
        <w:rPr>
          <w:sz w:val="21"/>
          <w:szCs w:val="21"/>
        </w:rPr>
        <w:t xml:space="preserve">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</w:t>
      </w:r>
      <w:r>
        <w:rPr>
          <w:sz w:val="21"/>
          <w:szCs w:val="21"/>
        </w:rPr>
        <w:t xml:space="preserve">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</w:t>
      </w:r>
      <w:r>
        <w:rPr>
          <w:sz w:val="21"/>
          <w:szCs w:val="21"/>
        </w:rPr>
        <w:t xml:space="preserve">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</w:t>
      </w:r>
      <w:r>
        <w:rPr>
          <w:sz w:val="21"/>
          <w:szCs w:val="21"/>
        </w:rPr>
        <w:t xml:space="preserve">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</w:t>
      </w:r>
      <w:r>
        <w:rPr>
          <w:sz w:val="21"/>
          <w:szCs w:val="21"/>
        </w:rPr>
        <w:t xml:space="preserve">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</w:t>
      </w:r>
      <w:r>
        <w:rPr>
          <w:sz w:val="21"/>
          <w:szCs w:val="21"/>
        </w:rPr>
        <w:t xml:space="preserve">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</w:t>
      </w:r>
      <w:r>
        <w:rPr>
          <w:sz w:val="21"/>
          <w:szCs w:val="21"/>
        </w:rPr>
        <w:t xml:space="preserve">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</w:t>
      </w:r>
      <w:r>
        <w:rPr>
          <w:sz w:val="21"/>
          <w:szCs w:val="21"/>
        </w:rPr>
        <w:t xml:space="preserve">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4. МЕЖДУНАРОДНОЕ ПУБЛИЧНОЕ ДОЛЖНОСТНОЕ ЛИЦО (МПДЛ</w:t>
      </w:r>
      <w:r>
        <w:rPr>
          <w:sz w:val="21"/>
          <w:szCs w:val="21"/>
        </w:rPr>
        <w:t xml:space="preserve">) - международный гражданский служащий или любое лицо, котор</w:t>
      </w:r>
      <w:r>
        <w:rPr>
          <w:sz w:val="21"/>
          <w:szCs w:val="21"/>
        </w:rPr>
        <w:t xml:space="preserve">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5. ЛИЦО, СВЯЗАННОЕ С ПДЛ</w:t>
      </w:r>
      <w:r>
        <w:rPr>
          <w:sz w:val="21"/>
          <w:szCs w:val="21"/>
        </w:rPr>
        <w:t xml:space="preserve"> – супруг или супруга ПДЛ, его близкий родственник (родственник по прямой во</w:t>
      </w:r>
      <w:r>
        <w:rPr>
          <w:sz w:val="21"/>
          <w:szCs w:val="21"/>
        </w:rPr>
        <w:t xml:space="preserve">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</w:t>
      </w:r>
      <w:r>
        <w:rPr>
          <w:sz w:val="21"/>
          <w:szCs w:val="21"/>
        </w:rPr>
        <w:t xml:space="preserve"> значительную материальную выгоду ввиду отношений с ПДЛ.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6. МЕЖДУНАРОДНЫЕ ОРГАНИЗАЦИИ</w:t>
      </w:r>
      <w:r>
        <w:rPr>
          <w:sz w:val="21"/>
          <w:szCs w:val="21"/>
        </w:rPr>
        <w:t xml:space="preserve"> – организации, созданные официальными политическими соглашениями между их странами - членами, которые имеют статус международных договоров; их существование признается з</w:t>
      </w:r>
      <w:r>
        <w:rPr>
          <w:sz w:val="21"/>
          <w:szCs w:val="21"/>
        </w:rPr>
        <w:t xml:space="preserve">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</w:t>
      </w:r>
      <w:r>
        <w:rPr>
          <w:sz w:val="21"/>
          <w:szCs w:val="21"/>
        </w:rPr>
        <w:t xml:space="preserve">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</w:t>
      </w:r>
      <w:r>
        <w:rPr>
          <w:sz w:val="21"/>
          <w:szCs w:val="21"/>
        </w:rPr>
        <w:t xml:space="preserve"> экономические организации, такие как Всемирная торговая организация или АСЕАН, и т.д.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40"/>
        <w:tabs>
          <w:tab w:val="left" w:pos="1080" w:leader="none"/>
        </w:tabs>
        <w:rPr>
          <w:b/>
          <w:bCs/>
        </w:rPr>
        <w:sectPr>
          <w:footnotePr/>
          <w:endnotePr/>
          <w:type w:val="nextPage"/>
          <w:pgSz w:w="11909" w:h="16834" w:orient="portrait"/>
          <w:pgMar w:top="1134" w:right="850" w:bottom="1134" w:left="1701" w:header="709" w:footer="709" w:gutter="0"/>
          <w:cols w:num="1" w:sep="0" w:space="60" w:equalWidth="1"/>
          <w:docGrid w:linePitch="360"/>
        </w:sect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145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174" w:name="_Toc51"/>
      <w:r>
        <w:rPr>
          <w:sz w:val="24"/>
          <w:szCs w:val="24"/>
        </w:rPr>
        <w:t xml:space="preserve">ФОРМА СПРАВКА О НАЛИЧИИ КОНФЛИКТА ИНТЕРЕСОВ И/ИЛИ СВЯЗЕЙ, НОСЯЩИХ ХАРАКТЕР АФФИЛИРОВАННОСТИ С СОТРУДНИКАМИ ЗАКАЗЧИКА ИЛИ ОРГАНИЗАТОРА ЗАКУПКИ</w:t>
      </w:r>
      <w:bookmarkEnd w:id="17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spacing w:after="0"/>
      </w:pPr>
      <w:r>
        <w:rPr>
          <w:b/>
        </w:rPr>
        <w:t xml:space="preserve">Справка о на</w:t>
      </w:r>
      <w:r>
        <w:rPr>
          <w:b/>
        </w:rPr>
        <w:t xml:space="preserve">личии конфликта интересов и/или связей, носящих характер аффилированности с сотрудниками Заказчика или Организатора закупки</w:t>
      </w:r>
      <w:r/>
    </w:p>
    <w:p>
      <w:pPr>
        <w:jc w:val="center"/>
        <w:spacing w:after="0"/>
      </w:pPr>
      <w:r/>
      <w:r/>
    </w:p>
    <w:p>
      <w:pPr>
        <w:jc w:val="left"/>
        <w:spacing w:after="0"/>
      </w:pPr>
      <w:r>
        <w:t xml:space="preserve">Наименование закупки _______________________________________ Лот № ____________</w:t>
      </w:r>
      <w:r/>
    </w:p>
    <w:p>
      <w:pPr>
        <w:spacing w:after="0"/>
      </w:pPr>
      <w:r>
        <w:t xml:space="preserve">Номер извещения о проведении закупки в ЕИС: _______</w:t>
      </w:r>
      <w:r>
        <w:t xml:space="preserve">_____________________________</w:t>
      </w:r>
      <w:r/>
    </w:p>
    <w:p>
      <w:pPr>
        <w:spacing w:after="0"/>
      </w:pPr>
      <w:r>
        <w:t xml:space="preserve">Наименование участника закупки: _______________________________________________</w:t>
      </w:r>
      <w:r/>
    </w:p>
    <w:p>
      <w:pPr>
        <w:spacing w:after="0"/>
        <w:rPr>
          <w:b/>
          <w:bCs/>
        </w:rPr>
      </w:pPr>
      <w:r>
        <w:t xml:space="preserve">Юридический адрес (место нахождения) участника закупки: _________________________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</w:pPr>
      <w:r/>
      <w:r/>
    </w:p>
    <w:p>
      <w:pPr>
        <w:jc w:val="center"/>
      </w:pPr>
      <w:r>
        <w:t xml:space="preserve">Уважаемые господа!</w:t>
      </w:r>
      <w:r/>
    </w:p>
    <w:p>
      <w:pPr>
        <w:ind w:firstLine="567"/>
      </w:pPr>
      <w:r>
        <w:rPr>
          <w:bCs/>
        </w:rPr>
        <w:t xml:space="preserve">При рассмотрении нашей заявки просим учесть </w:t>
      </w:r>
      <w:r>
        <w:rPr>
          <w:bCs/>
        </w:rPr>
        <w:t xml:space="preserve">следующие сведения о наличии у _______________________________________ </w:t>
      </w:r>
      <w:r>
        <w:rPr>
          <w:b/>
          <w:bCs/>
          <w:i/>
        </w:rPr>
        <w:t xml:space="preserve">(указывается полное наименование Участника закупки)</w:t>
      </w:r>
      <w:r>
        <w:rPr>
          <w:bCs/>
          <w:i/>
        </w:rPr>
        <w:t xml:space="preserve"> </w:t>
      </w:r>
      <w:r>
        <w:rPr>
          <w:bCs/>
        </w:rPr>
        <w:t xml:space="preserve">конфликта интересов и/или связей, </w:t>
      </w:r>
      <w:r>
        <w:rPr>
          <w:b/>
          <w:bCs/>
          <w:i/>
        </w:rPr>
        <w:t xml:space="preserve">носящих характер аффилированности с лицом, являющимся ______________________</w:t>
      </w:r>
      <w:r>
        <w:rPr>
          <w:i/>
          <w:iCs/>
        </w:rPr>
        <w:t xml:space="preserve"> (</w:t>
      </w:r>
      <w:r>
        <w:rPr>
          <w:b/>
          <w:i/>
          <w:iCs/>
        </w:rPr>
        <w:t xml:space="preserve">указывается кем являю</w:t>
      </w:r>
      <w:r>
        <w:rPr>
          <w:b/>
          <w:i/>
          <w:iCs/>
        </w:rPr>
        <w:t xml:space="preserve">тся эти лица, пример: учредители, сотрудники, и т.д.</w:t>
      </w:r>
      <w:r>
        <w:rPr>
          <w:b/>
          <w:bCs/>
          <w:i/>
        </w:rPr>
        <w:t xml:space="preserve">) </w:t>
      </w:r>
      <w:r>
        <w:rPr>
          <w:bCs/>
        </w:rPr>
        <w:t xml:space="preserve">Заказчика </w:t>
      </w:r>
      <w:r>
        <w:rPr>
          <w:b/>
          <w:bCs/>
          <w:i/>
        </w:rPr>
        <w:t xml:space="preserve">и/или Организатора закупки</w:t>
      </w:r>
      <w:r>
        <w:rPr>
          <w:bCs/>
        </w:rPr>
        <w:t xml:space="preserve">, а именно - </w:t>
      </w:r>
      <w:r>
        <w:rPr>
          <w:b/>
          <w:bCs/>
          <w:i/>
        </w:rPr>
        <w:t xml:space="preserve">Указывается Ф.И.О. лица, его место работы, должность; кратко описывается, почему связи между данным лицом и Участником закупки могут быть расценены как к</w:t>
      </w:r>
      <w:r>
        <w:rPr>
          <w:b/>
          <w:bCs/>
          <w:i/>
        </w:rPr>
        <w:t xml:space="preserve">онфликт интересов и/или аффилированность)</w:t>
      </w:r>
      <w:r>
        <w:rPr>
          <w:bCs/>
        </w:rPr>
        <w:t xml:space="preserve">.</w:t>
      </w:r>
      <w:r/>
    </w:p>
    <w:p>
      <w:pPr>
        <w:tabs>
          <w:tab w:val="left" w:pos="1080" w:leader="none"/>
        </w:tabs>
      </w:pPr>
      <w:r/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</w:pPr>
      <w:r>
        <w:rPr>
          <w:b/>
          <w:bCs/>
        </w:rPr>
        <w:t xml:space="preserve">м.п.</w:t>
      </w:r>
      <w:r/>
    </w:p>
    <w:p>
      <w:pPr>
        <w:ind w:right="424"/>
        <w:spacing w:after="0"/>
        <w:tabs>
          <w:tab w:val="left" w:pos="48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numPr>
          <w:ilvl w:val="0"/>
          <w:numId w:val="49"/>
        </w:numPr>
        <w:ind w:left="0" w:firstLine="709"/>
        <w:spacing w:after="0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numPr>
          <w:ilvl w:val="0"/>
          <w:numId w:val="49"/>
        </w:numPr>
        <w:ind w:left="0" w:firstLine="709"/>
        <w:spacing w:after="0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/>
    </w:p>
    <w:p>
      <w:pPr>
        <w:numPr>
          <w:ilvl w:val="0"/>
          <w:numId w:val="49"/>
        </w:numPr>
        <w:ind w:left="0" w:firstLine="709"/>
        <w:spacing w:after="0"/>
      </w:pPr>
      <w:r>
        <w:t xml:space="preserve">Участник закупки приводит наименования юридического лица и адреса места нахождения, либо фамилию, и</w:t>
      </w:r>
      <w:r>
        <w:t xml:space="preserve">мя, отчество, паспортные данные, адрес прописки (адрес регистрации) физического лица, в том числе индивидуального предпринимателя.</w:t>
      </w:r>
      <w:r/>
    </w:p>
    <w:p>
      <w:pPr>
        <w:numPr>
          <w:ilvl w:val="0"/>
          <w:numId w:val="49"/>
        </w:numPr>
        <w:ind w:left="0" w:firstLine="709"/>
        <w:spacing w:after="0"/>
      </w:pPr>
      <w:r>
        <w:t xml:space="preserve">Форма составляется на фирменном бланке Участника закупки.</w:t>
      </w:r>
      <w:r/>
    </w:p>
    <w:p>
      <w:pPr>
        <w:numPr>
          <w:ilvl w:val="0"/>
          <w:numId w:val="49"/>
        </w:numPr>
        <w:ind w:left="0" w:firstLine="709"/>
        <w:spacing w:after="0"/>
      </w:pPr>
      <w:r>
        <w:t xml:space="preserve">Участник закупки должен заполнить приведенное выше информационное п</w:t>
      </w:r>
      <w:r>
        <w:t xml:space="preserve">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нашей заявки просим учесть, что у {указывается наименование Уча</w:t>
      </w:r>
      <w:r>
        <w:t xml:space="preserve">стника закупки} НЕТ связей, которые могут быть признаны носящими характер аффилированности с лицами так или иначе связанными с Заказчиком или Организатором закупки.</w:t>
      </w:r>
      <w:r/>
    </w:p>
    <w:p>
      <w:pPr>
        <w:numPr>
          <w:ilvl w:val="0"/>
          <w:numId w:val="49"/>
        </w:numPr>
        <w:ind w:left="0" w:firstLine="709"/>
        <w:spacing w:after="0"/>
      </w:pPr>
      <w:r>
        <w:t xml:space="preserve">При наличии документов, подтверждающих или указывающих на факты возможного возникновения ко</w:t>
      </w:r>
      <w:r>
        <w:t xml:space="preserve">нфликта интересов и/или аффилированных связей, Участник прилагает соответствующие документы к настоящей Справке и включает перечень прилагаемых документов в текст Справки.</w:t>
      </w:r>
      <w:r/>
    </w:p>
    <w:p>
      <w:pPr>
        <w:numPr>
          <w:ilvl w:val="0"/>
          <w:numId w:val="49"/>
        </w:numPr>
        <w:ind w:left="0" w:firstLine="709"/>
        <w:spacing w:after="0"/>
      </w:pPr>
      <w:r>
        <w:rPr>
          <w:b/>
        </w:rPr>
        <w:t xml:space="preserve">Участник закупки должен приложить файл данной формы, выполненный в редактируемом фор</w:t>
      </w:r>
      <w:r>
        <w:rPr>
          <w:b/>
        </w:rPr>
        <w:t xml:space="preserve">мате</w:t>
      </w:r>
      <w:r>
        <w:t xml:space="preserve">.</w:t>
      </w:r>
      <w:r/>
    </w:p>
    <w:p>
      <w:pPr>
        <w:numPr>
          <w:ilvl w:val="0"/>
          <w:numId w:val="49"/>
        </w:numPr>
        <w:ind w:left="0" w:firstLine="709"/>
        <w:spacing w:after="0"/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145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175" w:name="_Toc52"/>
      <w:r>
        <w:rPr>
          <w:sz w:val="24"/>
          <w:szCs w:val="24"/>
        </w:rPr>
        <w:t xml:space="preserve">ФОРМА СПРАВКА (ИНФОРМАЦИЯ) О СОБСТВЕННИКАХ УЧАСТНИКА ЗАКУПКИ (ВКЛЮЧАЯ КОНЕЧНЫХ БЕНЕФИЦИАРОВ)</w:t>
      </w:r>
      <w:bookmarkEnd w:id="17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lang w:eastAsia="en-US"/>
        </w:rPr>
      </w:pPr>
      <w:r>
        <w:rPr>
          <w:b/>
          <w:lang w:eastAsia="en-US"/>
        </w:rPr>
      </w:r>
      <w:r>
        <w:rPr>
          <w:b/>
          <w:lang w:eastAsia="en-US"/>
        </w:rPr>
      </w:r>
      <w:r>
        <w:rPr>
          <w:b/>
          <w:lang w:eastAsia="en-US"/>
        </w:rPr>
      </w:r>
    </w:p>
    <w:p>
      <w:pPr>
        <w:jc w:val="center"/>
        <w:rPr>
          <w:b/>
          <w:lang w:eastAsia="en-US"/>
        </w:rPr>
      </w:pPr>
      <w:r>
        <w:rPr>
          <w:b/>
          <w:lang w:eastAsia="en-US"/>
        </w:rPr>
        <w:t xml:space="preserve">Справка (информация) о собственниках Участника закупки (включая конечных бенефициаров)*</w:t>
      </w:r>
      <w:r>
        <w:rPr>
          <w:b/>
          <w:lang w:eastAsia="en-US"/>
        </w:rPr>
      </w:r>
      <w:r>
        <w:rPr>
          <w:b/>
          <w:lang w:eastAsia="en-US"/>
        </w:rPr>
      </w:r>
    </w:p>
    <w:p>
      <w:pPr>
        <w:jc w:val="left"/>
        <w:spacing w:after="0"/>
      </w:pPr>
      <w:r/>
      <w:r/>
    </w:p>
    <w:p>
      <w:pPr>
        <w:jc w:val="left"/>
        <w:spacing w:after="0"/>
      </w:pPr>
      <w:r>
        <w:t xml:space="preserve">Наименование закупки ______________________________</w:t>
      </w:r>
      <w:r>
        <w:t xml:space="preserve">_________ Лот № ____________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_____________________________________</w:t>
      </w:r>
      <w:r/>
    </w:p>
    <w:p>
      <w:pPr>
        <w:spacing w:after="0"/>
      </w:pPr>
      <w:r>
        <w:t xml:space="preserve">Наименование участника закупки: ________________________________________________</w:t>
      </w:r>
      <w:r/>
    </w:p>
    <w:p>
      <w:pPr>
        <w:spacing w:after="0"/>
      </w:pPr>
      <w:r>
        <w:t xml:space="preserve">Юридический адрес (место нахождения) участника закупки: ________</w:t>
      </w:r>
      <w:r>
        <w:t xml:space="preserve">__________________</w:t>
      </w:r>
      <w:r/>
    </w:p>
    <w:p>
      <w:pPr>
        <w:spacing w:after="0"/>
      </w:pPr>
      <w:r/>
      <w:r/>
    </w:p>
    <w:tbl>
      <w:tblPr>
        <w:tblW w:w="1530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573"/>
        <w:gridCol w:w="567"/>
        <w:gridCol w:w="1134"/>
        <w:gridCol w:w="850"/>
        <w:gridCol w:w="1134"/>
        <w:gridCol w:w="1418"/>
        <w:gridCol w:w="567"/>
        <w:gridCol w:w="567"/>
        <w:gridCol w:w="708"/>
        <w:gridCol w:w="1134"/>
        <w:gridCol w:w="987"/>
        <w:gridCol w:w="1418"/>
        <w:gridCol w:w="1134"/>
        <w:gridCol w:w="1276"/>
        <w:gridCol w:w="1275"/>
      </w:tblGrid>
      <w:tr>
        <w:tblPrEx/>
        <w:trPr>
          <w:jc w:val="center"/>
          <w:trHeight w:val="86"/>
        </w:trPr>
        <w:tc>
          <w:tcPr>
            <w:shd w:val="clear" w:color="000000" w:fill="ffffff"/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№ п./п.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6"/>
            <w:shd w:val="clear" w:color="000000" w:fill="ffffff"/>
            <w:tcW w:w="567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**№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ffffff" w:fill="ffffff"/>
            <w:tcW w:w="849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847"/>
        </w:trPr>
        <w:tc>
          <w:tcPr>
            <w:shd w:val="clear" w:color="000000" w:fill="ffffff"/>
            <w:tcW w:w="562" w:type="dxa"/>
            <w:vAlign w:val="center"/>
            <w:vMerge w:val="continue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ind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ОГРН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ОГРН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ind w:left="-113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Размер доли (для участников/ акционеро</w:t>
            </w:r>
            <w:r>
              <w:rPr>
                <w:b/>
                <w:color w:val="000000"/>
                <w:sz w:val="16"/>
                <w:szCs w:val="16"/>
              </w:rPr>
              <w:t xml:space="preserve">в/ бенефициаров)</w:t>
            </w:r>
            <w:r>
              <w:rPr>
                <w:b/>
                <w:color w:val="000000"/>
                <w:sz w:val="16"/>
                <w:szCs w:val="16"/>
              </w:rPr>
            </w: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6"/>
                <w:szCs w:val="16"/>
              </w:rPr>
            </w:r>
            <w:r>
              <w:rPr>
                <w:b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4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5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6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7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8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9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10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14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</w:t>
            </w:r>
            <w:r>
              <w:rPr>
                <w:b/>
                <w:color w:val="000000"/>
                <w:sz w:val="16"/>
                <w:szCs w:val="16"/>
              </w:rPr>
              <w:t xml:space="preserve">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1.1.3.1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</w:t>
            </w:r>
            <w:r>
              <w:rPr>
                <w:b/>
                <w:color w:val="000000"/>
                <w:sz w:val="16"/>
                <w:szCs w:val="16"/>
              </w:rPr>
              <w:t xml:space="preserve">.3.2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</w:t>
            </w:r>
            <w:r>
              <w:rPr>
                <w:b/>
                <w:color w:val="000000"/>
                <w:sz w:val="16"/>
                <w:szCs w:val="16"/>
              </w:rPr>
              <w:t xml:space="preserve">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1.2.3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567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spacing w:after="0"/>
        <w:rPr>
          <w:b/>
          <w:bCs/>
        </w:rPr>
      </w:pPr>
      <w:r>
        <w:rPr>
          <w:b/>
          <w:bCs/>
        </w:rPr>
        <w:t xml:space="preserve">м.п.</w:t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567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pStyle w:val="1457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Данные инструкции не следует воспроизводить в документах, подготовленных Участником закупки.</w:t>
      </w:r>
      <w:r>
        <w:rPr>
          <w:b/>
        </w:rPr>
      </w:r>
      <w:r>
        <w:rPr>
          <w:b/>
        </w:rPr>
      </w:r>
    </w:p>
    <w:p>
      <w:pPr>
        <w:pStyle w:val="1457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>
        <w:rPr>
          <w:b/>
        </w:rPr>
      </w:r>
      <w:r>
        <w:rPr>
          <w:b/>
        </w:rPr>
      </w:r>
    </w:p>
    <w:p>
      <w:pPr>
        <w:pStyle w:val="1457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Участник закупки приводит наименования юридического лица и адреса места нахождения, либо фамилию, и</w:t>
      </w:r>
      <w:r>
        <w:t xml:space="preserve">мя, отчество, паспортные данные, адрес прописки (адрес регистрации) физического лица, в том числе индивидуального предпринимателя.</w:t>
      </w:r>
      <w:r>
        <w:rPr>
          <w:b/>
        </w:rPr>
      </w:r>
      <w:r>
        <w:rPr>
          <w:b/>
        </w:rPr>
      </w:r>
    </w:p>
    <w:p>
      <w:pPr>
        <w:pStyle w:val="1457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В случае, если одним или несколькими участниками / учредителями / акционерами контрагента являются юридические лица, то в зав</w:t>
      </w:r>
      <w:r>
        <w:t xml:space="preserve">исимости от организационно-правовой формы, необходимо раскрыть цепочку их участников/учредителей/акционеров до уровня конечных бенефициаров с соблюдением нумерации и представить копии подтверждающих документов для всей цепочки с их указанием.</w:t>
      </w:r>
      <w:r>
        <w:rPr>
          <w:b/>
        </w:rPr>
      </w:r>
      <w:r>
        <w:rPr>
          <w:b/>
        </w:rPr>
      </w:r>
    </w:p>
    <w:p>
      <w:pPr>
        <w:pStyle w:val="1457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* В отношении</w:t>
      </w:r>
      <w:r>
        <w:t xml:space="preserve">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</w:t>
      </w:r>
      <w:r>
        <w:t xml:space="preserve">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</w:t>
      </w:r>
      <w:r>
        <w:t xml:space="preserve"> информации о количестве таких акционеров.</w:t>
      </w:r>
      <w:r>
        <w:rPr>
          <w:b/>
        </w:rPr>
      </w:r>
      <w:r>
        <w:rPr>
          <w:b/>
        </w:rPr>
      </w:r>
    </w:p>
    <w:p>
      <w:pPr>
        <w:pStyle w:val="1457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Разделы «ИНН» (№2) и «ОГРН» (№3) - указываются регистрационные данные Участника.</w:t>
      </w:r>
      <w:r>
        <w:rPr>
          <w:b/>
        </w:rPr>
      </w:r>
      <w:r>
        <w:rPr>
          <w:b/>
        </w:rPr>
      </w:r>
    </w:p>
    <w:p>
      <w:pPr>
        <w:pStyle w:val="1457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Разделы «ИНН» (№9) и «ОГРН» (№10) - указываются регистрационные данные собственников Участника.</w:t>
      </w:r>
      <w:r>
        <w:rPr>
          <w:b/>
        </w:rPr>
      </w:r>
      <w:r>
        <w:rPr>
          <w:b/>
        </w:rPr>
      </w:r>
    </w:p>
    <w:p>
      <w:pPr>
        <w:pStyle w:val="1457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 «Наименование краткое» (№4) -</w:t>
      </w:r>
      <w:r>
        <w:t xml:space="preserve"> указывается краткое наименование Участника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подачи Заявок.</w:t>
      </w:r>
      <w:r>
        <w:rPr>
          <w:b/>
        </w:rPr>
      </w:r>
      <w:r>
        <w:rPr>
          <w:b/>
        </w:rPr>
      </w:r>
    </w:p>
    <w:p>
      <w:pPr>
        <w:pStyle w:val="1457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</w:t>
      </w:r>
      <w:r>
        <w:t xml:space="preserve">ел «Код ОКВЭД» (№5) - указывается код (основные коды) ОКВЭД.</w:t>
      </w:r>
      <w:r>
        <w:rPr>
          <w:b/>
        </w:rPr>
      </w:r>
      <w:r>
        <w:rPr>
          <w:b/>
        </w:rPr>
      </w:r>
    </w:p>
    <w:p>
      <w:pPr>
        <w:pStyle w:val="1457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 «ФИО руководителя» (№6) - фамилия, отчество и имя указываются полностью.</w:t>
      </w:r>
      <w:r>
        <w:rPr>
          <w:b/>
        </w:rPr>
      </w:r>
      <w:r>
        <w:rPr>
          <w:b/>
        </w:rPr>
      </w:r>
    </w:p>
    <w:p>
      <w:pPr>
        <w:pStyle w:val="1457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 «Серия и номер документа, удостоверяющего личность руководителя» (№7) - паспортные данные указываются в форм</w:t>
      </w:r>
      <w:r>
        <w:t xml:space="preserve">ате: ХХХХХХХХХХ (10 знаков), то есть без слов «серия», «номер» и т.п.</w:t>
      </w:r>
      <w:r>
        <w:rPr>
          <w:b/>
        </w:rPr>
      </w:r>
      <w:r>
        <w:rPr>
          <w:b/>
        </w:rPr>
      </w:r>
    </w:p>
    <w:p>
      <w:pPr>
        <w:pStyle w:val="1457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 «Серия и номер документа, удостоверяющего личность (для физ. лиц)» (№13) - паспортные данные указываются в формате: ХХХХХХХХХХ (10 знаков), то есть без слов «серия», «номер» и т.п</w:t>
      </w:r>
      <w:r>
        <w:t xml:space="preserve">.</w:t>
      </w:r>
      <w:r>
        <w:rPr>
          <w:b/>
        </w:rPr>
      </w:r>
      <w:r>
        <w:rPr>
          <w:b/>
        </w:rPr>
      </w:r>
    </w:p>
    <w:p>
      <w:pPr>
        <w:pStyle w:val="1457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** Раздел «№» (№8) – заполняется в следующем формате: </w:t>
      </w:r>
      <w:r>
        <w:rPr>
          <w:b/>
        </w:rPr>
      </w:r>
      <w:r>
        <w:rPr>
          <w:b/>
        </w:rPr>
      </w:r>
    </w:p>
    <w:p>
      <w:pPr>
        <w:pStyle w:val="1457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1.1, 1.2. и т.д. – собственники участника (собственники первого уровня)</w:t>
      </w:r>
      <w:r>
        <w:rPr>
          <w:b/>
        </w:rPr>
      </w:r>
      <w:r>
        <w:rPr>
          <w:b/>
        </w:rPr>
      </w:r>
    </w:p>
    <w:p>
      <w:pPr>
        <w:pStyle w:val="1457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1.1.1, 1.1.2, 1.1.3 – собственники организации 1.1 (собственники организации второго уровня) и далее – по аналогичной схеме до </w:t>
      </w:r>
      <w:r>
        <w:t xml:space="preserve">конечного бенефициарного собственника (пример 1.1.3.1).</w:t>
      </w:r>
      <w:r>
        <w:rPr>
          <w:b/>
        </w:rPr>
      </w:r>
      <w:r>
        <w:rPr>
          <w:b/>
        </w:rPr>
      </w:r>
    </w:p>
    <w:p>
      <w:pPr>
        <w:pStyle w:val="1457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Каждый собственник указывается в отдельной строке Формы.</w:t>
      </w:r>
      <w:r>
        <w:rPr>
          <w:b/>
        </w:rPr>
      </w:r>
      <w:r>
        <w:rPr>
          <w:b/>
        </w:rPr>
      </w:r>
    </w:p>
    <w:p>
      <w:pPr>
        <w:pStyle w:val="1457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</w:t>
      </w:r>
      <w:r>
        <w:t xml:space="preserve">и наличие и состав собственников (выпиской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подачи Заявок, выпиской из реестра акционеров </w:t>
      </w:r>
      <w:r>
        <w:t xml:space="preserve">и т.п.); для физических лиц - фамилия, имя и отчество (указываются полностью).</w:t>
      </w:r>
      <w:r>
        <w:rPr>
          <w:b/>
        </w:rPr>
      </w:r>
      <w:r>
        <w:rPr>
          <w:b/>
        </w:rPr>
      </w:r>
    </w:p>
    <w:p>
      <w:pPr>
        <w:pStyle w:val="1457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</w:t>
      </w:r>
      <w:r>
        <w:t xml:space="preserve">выданной соответствующим подразделением Федеральной налоговой службы не ранее чем за 6 месяцев до срока окончания подачи Заявок; для физического лица - адрес регистрации физического лица.</w:t>
      </w:r>
      <w:r>
        <w:rPr>
          <w:b/>
        </w:rPr>
      </w:r>
      <w:r>
        <w:rPr>
          <w:b/>
        </w:rPr>
      </w:r>
    </w:p>
    <w:p>
      <w:pPr>
        <w:pStyle w:val="1457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 «руководитель/участник/акционер/бенефициар» (№14) – указывает</w:t>
      </w:r>
      <w:r>
        <w:t xml:space="preserve">ся, кем является лицо или организация, отраженные в «Наименование/ФИО» (№11) - руководителем; участником (для собственников ООО); акционером (для собственников ЗАО, АО и ПАО); бенефициаром (иностранные компании, по которым не известны конечные бенефициары)</w:t>
      </w:r>
      <w:r>
        <w:t xml:space="preserve">; конечным бенефициаром (Российская Федерация, гос. учреждения РФ, физические лица, кроме руководителей).</w:t>
      </w:r>
      <w:r>
        <w:rPr>
          <w:b/>
        </w:rPr>
      </w:r>
      <w:r>
        <w:rPr>
          <w:b/>
        </w:rPr>
      </w:r>
    </w:p>
    <w:p>
      <w:pPr>
        <w:pStyle w:val="1457"/>
        <w:numPr>
          <w:ilvl w:val="0"/>
          <w:numId w:val="50"/>
        </w:numPr>
        <w:ind w:left="0" w:firstLine="709"/>
        <w:jc w:val="both"/>
      </w:pPr>
      <w:r>
        <w:t xml:space="preserve">***Раздел «Информация о подтверждающих документах (наименование, реквизиты и т.д.)» (№16) – указываются документы, на основании которых вносились данн</w:t>
      </w:r>
      <w:r>
        <w:t xml:space="preserve">ые в разделы №№9-13, а также документ, подтверждающий статус участника(ов) общества (выписка из ЕГРЮЛ, ЕГРИП, решение (протокол) о назначении исполнительного органа, выписка из реестра акционеров (список лиц, зарегистрированных в реестре владельцев ценных </w:t>
      </w:r>
      <w:r>
        <w:t xml:space="preserve">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  <w:r/>
    </w:p>
    <w:p>
      <w:pPr>
        <w:pStyle w:val="1457"/>
        <w:numPr>
          <w:ilvl w:val="0"/>
          <w:numId w:val="50"/>
        </w:numPr>
        <w:ind w:left="0" w:firstLine="709"/>
        <w:jc w:val="both"/>
        <w:rPr>
          <w:b/>
          <w:bCs/>
        </w:rPr>
      </w:pPr>
      <w:r>
        <w:rPr>
          <w:b/>
        </w:rPr>
        <w:t xml:space="preserve">Участ</w:t>
      </w:r>
      <w:r>
        <w:rPr>
          <w:b/>
        </w:rPr>
        <w:t xml:space="preserve">ник закупки должен приложить файл данной формы, выполненный в редактируемом формате</w:t>
      </w:r>
      <w:r>
        <w:t xml:space="preserve">.</w:t>
      </w:r>
      <w:r>
        <w:rPr>
          <w:b/>
          <w:bCs/>
        </w:rPr>
      </w:r>
      <w:r>
        <w:rPr>
          <w:b/>
          <w:bCs/>
        </w:rPr>
      </w:r>
    </w:p>
    <w:p>
      <w:pPr>
        <w:jc w:val="left"/>
        <w:spacing w:after="160" w:line="259" w:lineRule="auto"/>
        <w:rPr>
          <w:b/>
        </w:rPr>
      </w:pPr>
      <w:r>
        <w:rPr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jc w:val="right"/>
        <w:spacing w:after="160" w:line="259" w:lineRule="auto"/>
        <w:rPr>
          <w:b/>
        </w:rPr>
      </w:pPr>
      <w:r>
        <w:rPr>
          <w:b/>
        </w:rPr>
        <w:t xml:space="preserve">Приложение 1</w:t>
      </w:r>
      <w:r>
        <w:rPr>
          <w:b/>
        </w:rPr>
      </w:r>
      <w:r>
        <w:rPr>
          <w:b/>
        </w:rPr>
      </w:r>
    </w:p>
    <w:p>
      <w:pPr>
        <w:jc w:val="center"/>
        <w:rPr>
          <w:b/>
          <w:bCs/>
        </w:rPr>
      </w:pPr>
      <w:r>
        <w:rPr>
          <w:b/>
        </w:rPr>
        <w:t xml:space="preserve">Пример заполнения формы «Справка (информация) о собственниках участника закупки (включая конечных бенефициаров) (в том числе конечных)»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 xml:space="preserve">ООО «Организация-пример»</w:t>
      </w:r>
      <w:r>
        <w:rPr>
          <w:b/>
          <w:color w:val="000000"/>
          <w:u w:val="single"/>
        </w:rPr>
      </w:r>
      <w:r>
        <w:rPr>
          <w:b/>
          <w:color w:val="000000"/>
          <w:u w:val="single"/>
        </w:rPr>
      </w:r>
    </w:p>
    <w:p>
      <w:pPr>
        <w:jc w:val="center"/>
      </w:pPr>
      <w:r>
        <w:rPr>
          <w:i/>
          <w:color w:val="000000"/>
        </w:rPr>
        <w:t xml:space="preserve">(наименование организации)</w:t>
      </w:r>
      <w:r/>
    </w:p>
    <w:tbl>
      <w:tblPr>
        <w:tblW w:w="1573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51"/>
        <w:gridCol w:w="709"/>
        <w:gridCol w:w="1275"/>
        <w:gridCol w:w="709"/>
        <w:gridCol w:w="1134"/>
        <w:gridCol w:w="1418"/>
        <w:gridCol w:w="567"/>
        <w:gridCol w:w="992"/>
        <w:gridCol w:w="709"/>
        <w:gridCol w:w="1134"/>
        <w:gridCol w:w="1134"/>
        <w:gridCol w:w="1111"/>
        <w:gridCol w:w="1134"/>
        <w:gridCol w:w="1157"/>
        <w:gridCol w:w="1275"/>
      </w:tblGrid>
      <w:tr>
        <w:tblPrEx/>
        <w:trPr>
          <w:jc w:val="center"/>
          <w:trHeight w:val="331"/>
        </w:trPr>
        <w:tc>
          <w:tcPr>
            <w:shd w:val="clear" w:color="000000" w:fill="ffffff"/>
            <w:tcW w:w="426" w:type="dxa"/>
            <w:vAlign w:val="center"/>
            <w:vMerge w:val="restart"/>
            <w:textDirection w:val="lrTb"/>
            <w:noWrap w:val="false"/>
          </w:tcPr>
          <w:p>
            <w:pPr>
              <w:ind w:left="-79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№ п./п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6"/>
            <w:shd w:val="clear" w:color="000000" w:fill="ffffff"/>
            <w:tcW w:w="609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**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№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ffffff" w:fill="ffffff"/>
            <w:tcW w:w="864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847"/>
        </w:trPr>
        <w:tc>
          <w:tcPr>
            <w:shd w:val="clear" w:color="000000" w:fill="ffffff"/>
            <w:tcW w:w="426" w:type="dxa"/>
            <w:vAlign w:val="center"/>
            <w:vMerge w:val="continue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113" w:right="-22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ind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ОГРН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ind w:left="-137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ОГРН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ind w:right="-46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Размер доли (для участников/ акционеро</w:t>
            </w:r>
            <w:r>
              <w:rPr>
                <w:b/>
                <w:color w:val="000000"/>
                <w:sz w:val="16"/>
                <w:szCs w:val="16"/>
              </w:rPr>
              <w:t xml:space="preserve">в/ бенефициаров)</w:t>
            </w:r>
            <w:r>
              <w:rPr>
                <w:b/>
                <w:color w:val="000000"/>
                <w:sz w:val="16"/>
                <w:szCs w:val="16"/>
              </w:rPr>
            </w: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ind w:right="-46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6"/>
                <w:szCs w:val="16"/>
              </w:rPr>
            </w:r>
            <w:r>
              <w:rPr>
                <w:b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right="-25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4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5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6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7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8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9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10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14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16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right="-250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773456789</w:t>
            </w:r>
            <w:r>
              <w:rPr>
                <w:color w:val="000000"/>
                <w:sz w:val="14"/>
                <w:szCs w:val="16"/>
              </w:rPr>
              <w:t xml:space="preserve">0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044567890123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45.хх.хх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4601 456789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7751212112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35%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1.0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111222333444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7777 888999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222333444555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6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8888 111222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70%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1. 2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7735345355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30%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1.2.0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6158585888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987654321123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Сидорчук Светлана Петровна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0125 145678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90%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775456123007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154568484</w:t>
            </w:r>
            <w:r>
              <w:rPr>
                <w:color w:val="000000"/>
                <w:sz w:val="14"/>
                <w:szCs w:val="16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25%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7778899111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4545 123456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3334455777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2323 145678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100%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bCs/>
                <w:color w:val="000000"/>
                <w:sz w:val="14"/>
                <w:szCs w:val="16"/>
                <w:lang w:val="en-US"/>
              </w:rPr>
            </w:r>
            <w:r>
              <w:rPr>
                <w:bCs/>
                <w:color w:val="000000"/>
                <w:sz w:val="14"/>
                <w:szCs w:val="16"/>
                <w:lang w:val="en-US"/>
              </w:rPr>
            </w:r>
            <w:r>
              <w:rPr>
                <w:bCs/>
                <w:color w:val="000000"/>
                <w:sz w:val="14"/>
                <w:szCs w:val="16"/>
                <w:lang w:val="en-US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Пример Лтд. (</w:t>
            </w:r>
            <w:r>
              <w:rPr>
                <w:color w:val="000000"/>
                <w:sz w:val="14"/>
                <w:szCs w:val="16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6"/>
              </w:rPr>
              <w:t xml:space="preserve">)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Кипр, Лимассол, 45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40%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color w:val="000000"/>
                <w:sz w:val="14"/>
                <w:szCs w:val="16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6"/>
                <w:lang w:val="en-US"/>
              </w:rPr>
            </w:r>
            <w:r>
              <w:rPr>
                <w:bCs/>
                <w:color w:val="000000"/>
                <w:sz w:val="14"/>
                <w:szCs w:val="16"/>
                <w:lang w:val="en-US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tabs>
          <w:tab w:val="left" w:pos="1080" w:leader="none"/>
        </w:tabs>
        <w:rPr>
          <w:bCs/>
          <w:sz w:val="22"/>
          <w:szCs w:val="22"/>
        </w:rPr>
      </w:pPr>
      <w:r>
        <w:rPr>
          <w:sz w:val="20"/>
          <w:vertAlign w:val="subscript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697980" cy="4023360"/>
                <wp:effectExtent l="0" t="0" r="762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45173528" name="_x0000_i0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57">
                          <a:extLst>
                            <a:ext uri="{96DAC541-7B7A-43D3-8B79-37D633B846F1}">
                              <asvg:svgBlip xmlns:asvg="http://schemas.microsoft.com/office/drawing/2016/SVG/main" r:embed="rId58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6697980" cy="4023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27.40pt;height:316.80pt;mso-wrap-distance-left:0.00pt;mso-wrap-distance-top:0.00pt;mso-wrap-distance-right:0.00pt;mso-wrap-distance-bottom:0.00pt;" stroked="f">
                <v:path textboxrect="0,0,0,0"/>
                <v:imagedata r:id="rId57" o:title=""/>
              </v:shape>
            </w:pict>
          </mc:Fallback>
        </mc:AlternateConten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  <w:sectPr>
          <w:footnotePr/>
          <w:endnotePr/>
          <w:type w:val="nextPage"/>
          <w:pgSz w:w="16838" w:h="11906" w:orient="landscape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pStyle w:val="1145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176" w:name="_Toc53"/>
      <w:r>
        <w:rPr>
          <w:sz w:val="24"/>
          <w:szCs w:val="24"/>
        </w:rPr>
        <w:t xml:space="preserve">ФОРМА СОГЛАСИЕ НА ОБРАБОТКУ ПЕРСОНАЛЬНЫХ ДАННЫХ</w:t>
      </w:r>
      <w:bookmarkEnd w:id="17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  <w:t xml:space="preserve">Согласие на обработку персональных данных</w:t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  <w:t xml:space="preserve">от «____» ____________</w:t>
      </w:r>
      <w:r>
        <w:rPr>
          <w:b/>
        </w:rPr>
        <w:t xml:space="preserve">_____ 20 ____ г.</w:t>
      </w:r>
      <w:r>
        <w:rPr>
          <w:b/>
        </w:rPr>
      </w:r>
      <w:r>
        <w:rPr>
          <w:b/>
        </w:rPr>
      </w:r>
    </w:p>
    <w:p>
      <w:pPr>
        <w:ind w:firstLine="567"/>
        <w:spacing w:after="0"/>
        <w:widowControl w:val="off"/>
      </w:pPr>
      <w:r>
        <w:t xml:space="preserve">Настоящим, _____________________________________________________________,</w:t>
      </w:r>
      <w:r/>
    </w:p>
    <w:p>
      <w:pPr>
        <w:jc w:val="center"/>
        <w:spacing w:after="0"/>
        <w:widowControl w:val="off"/>
        <w:rPr>
          <w:b/>
          <w:i/>
          <w:vertAlign w:val="subscript"/>
        </w:rPr>
      </w:pPr>
      <w:r>
        <w:rPr>
          <w:b/>
          <w:i/>
          <w:vertAlign w:val="subscript"/>
        </w:rPr>
        <w:t xml:space="preserve">                                                  (указывается</w:t>
      </w:r>
      <w:r>
        <w:rPr>
          <w:vertAlign w:val="subscript"/>
        </w:rPr>
        <w:t xml:space="preserve"> </w:t>
      </w:r>
      <w:r>
        <w:rPr>
          <w:b/>
          <w:i/>
          <w:vertAlign w:val="subscript"/>
        </w:rPr>
        <w:t xml:space="preserve">полное наименование участника закупочной процедуры</w:t>
      </w:r>
      <w:r>
        <w:rPr>
          <w:b/>
          <w:i/>
          <w:vertAlign w:val="subscript"/>
        </w:rPr>
      </w:r>
      <w:r>
        <w:rPr>
          <w:b/>
          <w:i/>
          <w:vertAlign w:val="subscript"/>
        </w:rPr>
      </w:r>
    </w:p>
    <w:p>
      <w:pPr>
        <w:spacing w:after="0"/>
      </w:pPr>
      <w:r>
        <w:rPr>
          <w:b/>
          <w:i/>
        </w:rPr>
        <w:t xml:space="preserve">___________________________________________________</w:t>
      </w:r>
      <w:r>
        <w:rPr>
          <w:b/>
          <w:i/>
        </w:rPr>
        <w:t xml:space="preserve">__________________________</w:t>
      </w:r>
      <w:r/>
    </w:p>
    <w:p>
      <w:pPr>
        <w:jc w:val="center"/>
        <w:spacing w:after="0"/>
        <w:widowControl w:val="off"/>
        <w:rPr>
          <w:vertAlign w:val="subscript"/>
        </w:rPr>
      </w:pPr>
      <w:r>
        <w:rPr>
          <w:b/>
          <w:i/>
          <w:vertAlign w:val="subscript"/>
        </w:rPr>
        <w:t xml:space="preserve">(потенциального контрагента), контрагента)</w:t>
      </w:r>
      <w:r>
        <w:rPr>
          <w:vertAlign w:val="subscript"/>
        </w:rPr>
      </w:r>
      <w:r>
        <w:rPr>
          <w:vertAlign w:val="subscript"/>
        </w:rPr>
      </w:r>
    </w:p>
    <w:p>
      <w:pPr>
        <w:ind w:firstLine="567"/>
        <w:widowControl w:val="off"/>
      </w:pPr>
      <w:r>
        <w:t xml:space="preserve">Адрес регистрации: _______________________________________________________,</w:t>
      </w:r>
      <w:r/>
    </w:p>
    <w:p>
      <w:pPr>
        <w:ind w:firstLine="567"/>
        <w:widowControl w:val="off"/>
      </w:pPr>
      <w:r>
        <w:t xml:space="preserve">Свидетельство о регистрации: ______________________________________________</w:t>
      </w:r>
      <w:r/>
    </w:p>
    <w:p>
      <w:pPr>
        <w:ind w:firstLine="567"/>
        <w:widowControl w:val="off"/>
        <w:rPr>
          <w:b/>
          <w:i/>
        </w:rPr>
      </w:pPr>
      <w:r>
        <w:rPr>
          <w:b/>
          <w:i/>
        </w:rPr>
        <w:t xml:space="preserve">ИНН__________________________</w:t>
      </w:r>
      <w:r>
        <w:rPr>
          <w:b/>
          <w:i/>
        </w:rPr>
      </w:r>
      <w:r>
        <w:rPr>
          <w:b/>
          <w:i/>
        </w:rPr>
      </w:r>
    </w:p>
    <w:p>
      <w:pPr>
        <w:ind w:firstLine="567"/>
        <w:widowControl w:val="off"/>
        <w:rPr>
          <w:b/>
          <w:i/>
        </w:rPr>
      </w:pPr>
      <w:r>
        <w:rPr>
          <w:b/>
          <w:i/>
        </w:rPr>
        <w:t xml:space="preserve">КПП_</w:t>
      </w:r>
      <w:r>
        <w:rPr>
          <w:b/>
          <w:i/>
        </w:rPr>
        <w:t xml:space="preserve">_________________________</w:t>
      </w:r>
      <w:r>
        <w:rPr>
          <w:b/>
          <w:i/>
        </w:rPr>
      </w:r>
      <w:r>
        <w:rPr>
          <w:b/>
          <w:i/>
        </w:rPr>
      </w:r>
    </w:p>
    <w:p>
      <w:pPr>
        <w:ind w:firstLine="567"/>
        <w:widowControl w:val="off"/>
      </w:pPr>
      <w:r>
        <w:rPr>
          <w:b/>
          <w:i/>
        </w:rPr>
        <w:t xml:space="preserve">ОГРН_________________________</w:t>
      </w:r>
      <w:r>
        <w:t xml:space="preserve">,</w:t>
      </w:r>
      <w:r/>
    </w:p>
    <w:p>
      <w:pPr>
        <w:spacing w:after="0"/>
        <w:widowControl w:val="off"/>
        <w:rPr>
          <w:b/>
          <w:i/>
        </w:rPr>
      </w:pPr>
      <w:r>
        <w:t xml:space="preserve">в лице</w:t>
      </w:r>
      <w:r>
        <w:rPr>
          <w:b/>
          <w:i/>
        </w:rPr>
        <w:t xml:space="preserve"> _______________________________________________________________________</w:t>
      </w:r>
      <w:r>
        <w:rPr>
          <w:b/>
          <w:i/>
        </w:rPr>
      </w:r>
      <w:r>
        <w:rPr>
          <w:b/>
          <w:i/>
        </w:rPr>
      </w:r>
    </w:p>
    <w:p>
      <w:pPr>
        <w:ind w:firstLine="540"/>
        <w:jc w:val="center"/>
        <w:spacing w:after="0"/>
        <w:rPr>
          <w:b/>
          <w:bCs/>
          <w:i/>
          <w:iCs/>
          <w:vertAlign w:val="subscript"/>
        </w:rPr>
      </w:pPr>
      <w:r>
        <w:rPr>
          <w:b/>
          <w:i/>
          <w:vertAlign w:val="subscript"/>
        </w:rPr>
        <w:t xml:space="preserve">(указывается Ф.И.О.,</w:t>
      </w:r>
      <w:r>
        <w:rPr>
          <w:b/>
          <w:i/>
          <w:iCs/>
          <w:vertAlign w:val="subscript"/>
        </w:rPr>
        <w:t xml:space="preserve"> адрес, номер основного документа, удостоверяющего его личность,</w:t>
      </w:r>
      <w:r>
        <w:rPr>
          <w:b/>
          <w:bCs/>
          <w:i/>
          <w:iCs/>
          <w:vertAlign w:val="subscript"/>
        </w:rPr>
      </w:r>
      <w:r>
        <w:rPr>
          <w:b/>
          <w:bCs/>
          <w:i/>
          <w:iCs/>
          <w:vertAlign w:val="subscript"/>
        </w:rPr>
      </w:r>
    </w:p>
    <w:p>
      <w:pPr>
        <w:jc w:val="left"/>
      </w:pPr>
      <w:r>
        <w:rPr>
          <w:b/>
          <w:i/>
          <w:iCs/>
        </w:rPr>
        <w:t xml:space="preserve">_____________________________________________________________________________</w:t>
      </w:r>
      <w:r>
        <w:rPr>
          <w:iCs/>
        </w:rPr>
        <w:t xml:space="preserve">,</w:t>
      </w:r>
      <w:r/>
    </w:p>
    <w:p>
      <w:pPr>
        <w:ind w:firstLine="540"/>
        <w:jc w:val="center"/>
        <w:rPr>
          <w:b/>
          <w:bCs/>
          <w:i/>
          <w:iCs/>
        </w:rPr>
      </w:pPr>
      <w:r>
        <w:rPr>
          <w:b/>
          <w:i/>
          <w:iCs/>
        </w:rPr>
        <w:t xml:space="preserve">сведения о дате выдачи указанного документа и выдавшем его органе)*</w:t>
      </w:r>
      <w:r>
        <w:rPr>
          <w:b/>
          <w:bCs/>
          <w:i/>
          <w:iCs/>
        </w:rPr>
      </w:r>
      <w:r>
        <w:rPr>
          <w:b/>
          <w:bCs/>
          <w:i/>
          <w:iCs/>
        </w:rPr>
      </w:r>
    </w:p>
    <w:p>
      <w:pPr>
        <w:spacing w:after="0"/>
        <w:widowControl w:val="off"/>
      </w:pPr>
      <w:r>
        <w:rPr>
          <w:b/>
          <w:i/>
        </w:rPr>
        <w:t xml:space="preserve">действующего на основании ______________________</w:t>
      </w:r>
      <w:r>
        <w:rPr>
          <w:i/>
        </w:rPr>
        <w:t xml:space="preserve">,</w:t>
      </w:r>
      <w:r>
        <w:rPr>
          <w:b/>
          <w:i/>
        </w:rPr>
        <w:t xml:space="preserve"> </w:t>
      </w:r>
      <w:r>
        <w:t xml:space="preserve">дает свое согласие </w:t>
      </w:r>
      <w:r>
        <w:rPr>
          <w:b/>
        </w:rPr>
        <w:t xml:space="preserve">АО «Россети Янтарь»</w:t>
      </w:r>
      <w:r>
        <w:t xml:space="preserve">, зарегистрированному</w:t>
      </w:r>
      <w:r>
        <w:t xml:space="preserve"> по адресу: 236022 г. Калининград, ул. Театральная, д. 34,</w:t>
      </w:r>
      <w:r>
        <w:rPr>
          <w:b/>
          <w:i/>
        </w:rPr>
        <w:t xml:space="preserve"> </w:t>
      </w:r>
      <w:r>
        <w:rPr>
          <w:b/>
        </w:rPr>
        <w:t xml:space="preserve">ДЗО _________«_________________» </w:t>
      </w:r>
      <w:r>
        <w:rPr>
          <w:b/>
          <w:i/>
        </w:rPr>
        <w:t xml:space="preserve">(указывается организационно-правовая форма и полное наименование),** </w:t>
      </w:r>
      <w:r>
        <w:t xml:space="preserve">зарегистрированному по адресу:_____________ и</w:t>
      </w:r>
      <w:r>
        <w:rPr>
          <w:i/>
        </w:rPr>
        <w:t xml:space="preserve"> </w:t>
      </w:r>
      <w:r>
        <w:rPr>
          <w:b/>
        </w:rPr>
        <w:t xml:space="preserve">Публичному акционерному обществу «Российские сети</w:t>
      </w:r>
      <w:r>
        <w:rPr>
          <w:b/>
        </w:rPr>
        <w:t xml:space="preserve">»</w:t>
      </w:r>
      <w:r>
        <w:t xml:space="preserve">, зарегистрированному по адресу: 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br/>
        <w:t xml:space="preserve">в том числе конечных бенефициаров, участника закупки (потенциального к</w:t>
      </w:r>
      <w:r>
        <w:t xml:space="preserve">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</w:t>
      </w:r>
      <w:r>
        <w:t xml:space="preserve">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</w:t>
      </w:r>
      <w:r>
        <w:t xml:space="preserve">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/>
    </w:p>
    <w:p>
      <w:pPr>
        <w:ind w:firstLine="567"/>
        <w:spacing w:after="0"/>
        <w:widowControl w:val="off"/>
      </w:pPr>
      <w:r>
        <w:t xml:space="preserve">Цель обработки персональных данных: обеспечение соблюдения требований законодательств</w:t>
      </w:r>
      <w:r>
        <w:t xml:space="preserve">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</w:t>
      </w:r>
      <w:r>
        <w:t xml:space="preserve">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</w:t>
      </w:r>
      <w:r>
        <w:t xml:space="preserve">денте Российской Федерации по вопросам стратегии развития топливно-энергетического комплекса и экологической безопасности.</w:t>
      </w:r>
      <w:r/>
    </w:p>
    <w:p>
      <w:pPr>
        <w:ind w:firstLine="567"/>
        <w:spacing w:after="0"/>
        <w:widowControl w:val="off"/>
        <w:rPr>
          <w:rFonts w:eastAsia="Calibri"/>
          <w:color w:val="000000"/>
          <w:lang w:eastAsia="en-US"/>
        </w:rPr>
      </w:pPr>
      <w: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</w:rPr>
        <w:t xml:space="preserve">, либо </w:t>
      </w:r>
      <w:r>
        <w:rPr>
          <w:color w:val="000000"/>
        </w:rPr>
        <w:t xml:space="preserve">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ind w:firstLine="567"/>
        <w:spacing w:after="0"/>
        <w:widowControl w:val="off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ind w:firstLine="567"/>
        <w:spacing w:after="0"/>
        <w:widowControl w:val="off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tbl>
      <w:tblPr>
        <w:tblW w:w="9243" w:type="dxa"/>
        <w:tblInd w:w="108" w:type="dxa"/>
        <w:tblLook w:val="01E0" w:firstRow="1" w:lastRow="1" w:firstColumn="1" w:lastColumn="1" w:noHBand="0" w:noVBand="0"/>
      </w:tblPr>
      <w:tblGrid>
        <w:gridCol w:w="4849"/>
        <w:gridCol w:w="4394"/>
      </w:tblGrid>
      <w:tr>
        <w:tblPrEx/>
        <w:trPr/>
        <w:tc>
          <w:tcPr>
            <w:tcW w:w="4849" w:type="dxa"/>
            <w:textDirection w:val="lrTb"/>
            <w:noWrap w:val="false"/>
          </w:tcPr>
          <w:p>
            <w:pPr>
              <w:ind w:right="-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___________________________________________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______________________________________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bCs/>
                <w:vertAlign w:val="subscript"/>
              </w:rPr>
            </w:pPr>
            <w:r>
              <w:rPr>
                <w:vertAlign w:val="subscript"/>
              </w:rPr>
              <w:t xml:space="preserve">(подпись субъекта персональных данных уполномоченного представителя)</w:t>
            </w:r>
            <w:r>
              <w:rPr>
                <w:bCs/>
                <w:vertAlign w:val="subscript"/>
              </w:rPr>
            </w:r>
            <w:r>
              <w:rPr>
                <w:bCs/>
                <w:vertAlign w:val="subscript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ind w:left="-103"/>
              <w:jc w:val="center"/>
              <w:rPr>
                <w:bCs/>
                <w:vertAlign w:val="subscript"/>
              </w:rPr>
            </w:pPr>
            <w:r>
              <w:rPr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vertAlign w:val="subscript"/>
              </w:rPr>
            </w:r>
            <w:r>
              <w:rPr>
                <w:bCs/>
                <w:vertAlign w:val="subscript"/>
              </w:rPr>
            </w:r>
          </w:p>
        </w:tc>
      </w:tr>
    </w:tbl>
    <w:p>
      <w:pPr>
        <w:tabs>
          <w:tab w:val="left" w:pos="1080" w:leader="none"/>
        </w:tabs>
        <w:rPr>
          <w:b/>
          <w:bCs/>
        </w:rPr>
      </w:pPr>
      <w:r>
        <w:rPr>
          <w:b/>
        </w:rPr>
        <w:t xml:space="preserve">м.п.</w:t>
      </w:r>
      <w:r>
        <w:rPr>
          <w:b/>
          <w:bCs/>
        </w:rPr>
      </w:r>
      <w:r>
        <w:rPr>
          <w:b/>
          <w:bCs/>
        </w:rPr>
      </w:r>
    </w:p>
    <w:p>
      <w:pPr>
        <w:widowControl w:val="o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ind w:firstLine="567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numPr>
          <w:ilvl w:val="0"/>
          <w:numId w:val="51"/>
        </w:numPr>
        <w:ind w:left="0" w:firstLine="709"/>
        <w:spacing w:after="0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numPr>
          <w:ilvl w:val="0"/>
          <w:numId w:val="51"/>
        </w:numPr>
        <w:ind w:left="0" w:firstLine="709"/>
        <w:spacing w:after="0"/>
      </w:pPr>
      <w:r>
        <w:t xml:space="preserve">Участник приводит номер и дату письма о подаче оферты, приложением к которому является данная форма.</w:t>
      </w:r>
      <w:r/>
    </w:p>
    <w:p>
      <w:pPr>
        <w:numPr>
          <w:ilvl w:val="0"/>
          <w:numId w:val="51"/>
        </w:numPr>
        <w:ind w:left="0" w:firstLine="709"/>
        <w:spacing w:after="0"/>
      </w:pPr>
      <w: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</w:t>
      </w:r>
      <w:r>
        <w:t xml:space="preserve">я. Участник закупки,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  <w:r/>
    </w:p>
    <w:p>
      <w:pPr>
        <w:numPr>
          <w:ilvl w:val="0"/>
          <w:numId w:val="51"/>
        </w:numPr>
        <w:ind w:left="0" w:firstLine="709"/>
        <w:spacing w:after="0"/>
      </w:pPr>
      <w:r>
        <w:t xml:space="preserve">Согласие на обработку персонал</w:t>
      </w:r>
      <w:r>
        <w:t xml:space="preserve">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</w:t>
      </w:r>
      <w:r>
        <w:t xml:space="preserve"> форме не обязательно.</w:t>
      </w:r>
      <w:r/>
    </w:p>
    <w:p>
      <w:pPr>
        <w:numPr>
          <w:ilvl w:val="0"/>
          <w:numId w:val="51"/>
        </w:numPr>
        <w:ind w:left="0" w:firstLine="709"/>
        <w:spacing w:after="0"/>
      </w:pPr>
      <w: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</w:t>
      </w:r>
      <w:r>
        <w:t xml:space="preserve">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</w:t>
      </w:r>
      <w:r>
        <w:t xml:space="preserve">ри получении согласия от представителя субъекта персональных данных). </w:t>
      </w:r>
      <w:r/>
    </w:p>
    <w:p>
      <w:pPr>
        <w:numPr>
          <w:ilvl w:val="0"/>
          <w:numId w:val="51"/>
        </w:numPr>
        <w:ind w:left="0" w:firstLine="709"/>
        <w:spacing w:after="0"/>
      </w:pPr>
      <w:r>
        <w:t xml:space="preserve">** При заключении договоров АО «Россети Янтарь», АО «Россети Янтарь» обязаны получить согласие на обработку персональных данных участника закупки (потенциального контрагента/ контрагент</w:t>
      </w:r>
      <w:r>
        <w:t xml:space="preserve">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</w:t>
      </w:r>
      <w:r>
        <w:t xml:space="preserve">, акционеров, руководителей).</w:t>
      </w:r>
      <w:r/>
    </w:p>
    <w:p>
      <w:pPr>
        <w:numPr>
          <w:ilvl w:val="0"/>
          <w:numId w:val="51"/>
        </w:numPr>
        <w:ind w:left="0" w:firstLine="709"/>
        <w:spacing w:after="0"/>
      </w:pPr>
      <w: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</w:t>
      </w:r>
      <w:r>
        <w:t xml:space="preserve">х, учредителях, акционерах) и бенефициарах исключает ответственность ПАО «Россети», АО «Россети Янтарь», ДЗО АО «Россети Янтарь» перед руководителем, собственником (участником, учредителем, акционером), а также бенефициаром участника закупки / контрагента </w:t>
      </w:r>
      <w:r>
        <w:t xml:space="preserve">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</w:t>
      </w:r>
      <w:r>
        <w:t xml:space="preserve">трагент получил у руководителя, своих бенефициаров и бенефициаров своих субконтрагентов согласие на представление (обработку) ПАО «Россети», АО «Россети Янтарь», ДЗО АО «Россети Янтарь» и в уполномоченные государственные органы указанных сведений</w:t>
      </w:r>
      <w:r>
        <w:rPr>
          <w:sz w:val="22"/>
          <w:szCs w:val="22"/>
        </w:rPr>
        <w:t xml:space="preserve">.</w:t>
      </w:r>
      <w:r>
        <w:br w:type="page" w:clear="all"/>
      </w:r>
      <w:r/>
    </w:p>
    <w:p>
      <w:pPr>
        <w:pStyle w:val="1145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177" w:name="_Toc54"/>
      <w:r>
        <w:rPr>
          <w:sz w:val="24"/>
          <w:szCs w:val="24"/>
        </w:rPr>
        <w:t xml:space="preserve">ФОРМА А</w:t>
      </w:r>
      <w:r>
        <w:rPr>
          <w:sz w:val="24"/>
          <w:szCs w:val="24"/>
        </w:rPr>
        <w:t xml:space="preserve">НТИКОРРУПЦИОННЫЕ ОБЯЗАТЕЛЬСТВА</w:t>
      </w:r>
      <w:bookmarkEnd w:id="177"/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p>
      <w:pPr>
        <w:jc w:val="center"/>
        <w:rPr>
          <w:b/>
          <w:bCs/>
        </w:rPr>
      </w:pPr>
      <w:r>
        <w:rPr>
          <w:b/>
          <w:bCs/>
        </w:rPr>
        <w:t xml:space="preserve">Антикоррупционные обязательства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</w:pPr>
      <w:r/>
      <w:r/>
    </w:p>
    <w:p>
      <w:pPr>
        <w:jc w:val="left"/>
        <w:spacing w:after="0"/>
      </w:pPr>
      <w:r>
        <w:t xml:space="preserve">Наименование закупки _______________________________________ Лот № ____________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____________________________________</w:t>
      </w:r>
      <w:r/>
    </w:p>
    <w:p>
      <w:pPr>
        <w:spacing w:after="0"/>
      </w:pPr>
      <w:r>
        <w:t xml:space="preserve">Наименование участника закупки: _______________________________________________</w:t>
      </w:r>
      <w:r/>
    </w:p>
    <w:p>
      <w:pPr>
        <w:spacing w:after="0"/>
        <w:rPr>
          <w:b/>
          <w:bCs/>
        </w:rPr>
      </w:pPr>
      <w:r>
        <w:t xml:space="preserve">Юридический адрес (место нахождения) участника закупки: _________________________</w:t>
      </w:r>
      <w:r>
        <w:rPr>
          <w:b/>
          <w:bCs/>
        </w:rPr>
      </w:r>
      <w:r>
        <w:rPr>
          <w:b/>
          <w:bCs/>
        </w:rPr>
      </w:r>
    </w:p>
    <w:p>
      <w:r/>
      <w:r/>
    </w:p>
    <w:p>
      <w:pPr>
        <w:ind w:firstLine="567"/>
        <w:spacing w:after="0"/>
      </w:pPr>
      <w:r>
        <w:t xml:space="preserve">Антикоррупционные обязательства разработаны во исполнение требований ст. 13.3 Федерального за</w:t>
      </w:r>
      <w:r>
        <w:t xml:space="preserve">кона от 25.12.2008 № 273-ФЗ «О противодействии коррупции», предусматривающих обязанность АО «Россети Янтарь» по разработке и принятию мер по предупреждению и противодействию коррупции.</w:t>
      </w:r>
      <w:r/>
    </w:p>
    <w:p>
      <w:pPr>
        <w:numPr>
          <w:ilvl w:val="0"/>
          <w:numId w:val="52"/>
        </w:numPr>
        <w:ind w:left="0" w:firstLine="567"/>
        <w:spacing w:after="0"/>
        <w:tabs>
          <w:tab w:val="num" w:pos="567" w:leader="none"/>
        </w:tabs>
      </w:pPr>
      <w:r>
        <w:t xml:space="preserve">Потенциальный участник (юридическое/физическое лицо, индивидуальный пре</w:t>
      </w:r>
      <w:r>
        <w:t xml:space="preserve">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АО «Россети Янтарь», именуемое в дальнейшем «Заказчик»</w:t>
      </w:r>
      <w:r>
        <w:t xml:space="preserve">, после ознакомления с закупочной документацией гарантирует и заверяет Заказчика/Организатора закупки, что он:</w:t>
      </w:r>
      <w:r/>
    </w:p>
    <w:p>
      <w:pPr>
        <w:contextualSpacing/>
        <w:ind w:firstLine="567"/>
        <w:spacing w:after="0"/>
        <w:widowControl w:val="off"/>
        <w:tabs>
          <w:tab w:val="num" w:pos="567" w:leader="none"/>
        </w:tabs>
      </w:pPr>
      <w:r>
        <w:t xml:space="preserve">1.1</w:t>
      </w:r>
      <w:r>
        <w:tab/>
        <w:t xml:space="preserve">Ознакомлен с Антикоррупционной хартией российского бизнеса и Антикоррупционной политикой ПАО «Россети» и его ДЗО, представленными в разделе «</w:t>
      </w:r>
      <w:r>
        <w:t xml:space="preserve">Антикоррупционная политика» на официальном сайте АО «Россети Янтарь») по адресу в сети Интернет </w:t>
      </w:r>
      <w:hyperlink r:id="rId59" w:tooltip="https://rosseti-yantar.ru/about/antikorruptsionnaya-politika/" w:history="1">
        <w:r>
          <w:rPr>
            <w:rStyle w:val="1364"/>
          </w:rPr>
          <w:t xml:space="preserve">https://rosseti</w:t>
        </w:r>
        <w:r>
          <w:rPr>
            <w:rStyle w:val="1364"/>
          </w:rPr>
          <w:t xml:space="preserve">-yantar.ru/about/antikorruptsionnaya-politika/</w:t>
        </w:r>
      </w:hyperlink>
      <w:r>
        <w:t xml:space="preserve"> (далее - Антикоррупционная политика).</w:t>
      </w:r>
      <w:r/>
    </w:p>
    <w:p>
      <w:pPr>
        <w:numPr>
          <w:ilvl w:val="1"/>
          <w:numId w:val="56"/>
        </w:numPr>
        <w:contextualSpacing/>
        <w:ind w:left="0" w:firstLine="567"/>
        <w:spacing w:after="0"/>
        <w:widowControl w:val="off"/>
        <w:tabs>
          <w:tab w:val="num" w:pos="567" w:leader="none"/>
        </w:tabs>
      </w:pPr>
      <w:r>
        <w:t xml:space="preserve">Согласен с принимаемыми в АО «Россети Янтарь» мерами, направленными на предупреждение и противодействие коррупции, включая Антикоррупционную политику, и готов представить </w:t>
      </w:r>
      <w:r>
        <w:t xml:space="preserve">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</w:t>
      </w:r>
      <w:r>
        <w:t xml:space="preserve">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</w:t>
      </w:r>
      <w:r>
        <w:t xml:space="preserve"> и печатью.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</w:t>
      </w:r>
      <w:r>
        <w:t xml:space="preserve">я иностранных лиц), полученных не ранее чем за 60 дней до срока окончания приема предложений,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</w:t>
      </w:r>
      <w:r>
        <w:t xml:space="preserve">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  <w:r/>
    </w:p>
    <w:p>
      <w:pPr>
        <w:numPr>
          <w:ilvl w:val="0"/>
          <w:numId w:val="52"/>
        </w:numPr>
        <w:ind w:left="0" w:firstLine="567"/>
        <w:spacing w:after="0"/>
        <w:tabs>
          <w:tab w:val="num" w:pos="567" w:leader="none"/>
        </w:tabs>
      </w:pPr>
      <w:r>
        <w:t xml:space="preserve">Участник, а также его аффилированные лица, бенефициары, работники, посредники и/или иные лица, действующие в интер</w:t>
      </w:r>
      <w:r>
        <w:t xml:space="preserve">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>
        <w:rPr>
          <w:bCs/>
        </w:rPr>
        <w:t xml:space="preserve">Запрещённые действия</w:t>
      </w:r>
      <w:r>
        <w:t xml:space="preserve">»).</w:t>
      </w:r>
      <w:r/>
    </w:p>
    <w:p>
      <w:pPr>
        <w:ind w:firstLine="567"/>
        <w:spacing w:after="0"/>
        <w:tabs>
          <w:tab w:val="num" w:pos="567" w:leader="none"/>
        </w:tabs>
      </w:pPr>
      <w:r>
        <w:t xml:space="preserve">2.1. К Запрещ</w:t>
      </w:r>
      <w:r>
        <w:rPr>
          <w:bCs/>
        </w:rPr>
        <w:t xml:space="preserve">ё</w:t>
      </w:r>
      <w:r>
        <w:t xml:space="preserve">нным действиям, способным вызвать коррупционные риски при осуществлении закупочной деятельности, относятся:</w:t>
      </w:r>
      <w:r/>
    </w:p>
    <w:p>
      <w:pPr>
        <w:numPr>
          <w:ilvl w:val="0"/>
          <w:numId w:val="55"/>
        </w:numPr>
        <w:ind w:left="0" w:firstLine="709"/>
        <w:spacing w:after="0"/>
        <w:tabs>
          <w:tab w:val="num" w:pos="567" w:leader="none"/>
        </w:tabs>
      </w:pPr>
      <w:r>
        <w:t xml:space="preserve">предоставление неполных, заведомо ложных, недостоверных сведений о структуре собственников;</w:t>
      </w:r>
      <w:r/>
    </w:p>
    <w:p>
      <w:pPr>
        <w:numPr>
          <w:ilvl w:val="0"/>
          <w:numId w:val="55"/>
        </w:numPr>
        <w:ind w:left="0" w:firstLine="709"/>
        <w:spacing w:after="0"/>
        <w:tabs>
          <w:tab w:val="num" w:pos="567" w:leader="none"/>
        </w:tabs>
      </w:pPr>
      <w:r>
        <w:t xml:space="preserve">непредставление информации о наличии аффилированных и ин</w:t>
      </w:r>
      <w:r>
        <w:t xml:space="preserve">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  <w:r/>
    </w:p>
    <w:p>
      <w:pPr>
        <w:numPr>
          <w:ilvl w:val="0"/>
          <w:numId w:val="55"/>
        </w:numPr>
        <w:ind w:left="0" w:firstLine="709"/>
        <w:spacing w:after="0"/>
        <w:tabs>
          <w:tab w:val="num" w:pos="567" w:leader="none"/>
        </w:tabs>
      </w:pPr>
      <w:r>
        <w:t xml:space="preserve">освобождение, предложение или обещание освободить от исполнения обязательства или</w:t>
      </w:r>
      <w:r>
        <w:t xml:space="preserve"> обязанности;</w:t>
      </w:r>
      <w:r/>
    </w:p>
    <w:p>
      <w:pPr>
        <w:numPr>
          <w:ilvl w:val="0"/>
          <w:numId w:val="55"/>
        </w:numPr>
        <w:ind w:left="0" w:firstLine="709"/>
        <w:spacing w:after="0"/>
        <w:tabs>
          <w:tab w:val="num" w:pos="567" w:leader="none"/>
        </w:tabs>
      </w:pPr>
      <w:r>
        <w:t xml:space="preserve">оказание, предложение или обещание оказать услуги;</w:t>
      </w:r>
      <w:r/>
    </w:p>
    <w:p>
      <w:pPr>
        <w:numPr>
          <w:ilvl w:val="0"/>
          <w:numId w:val="55"/>
        </w:numPr>
        <w:ind w:left="0" w:firstLine="709"/>
        <w:spacing w:after="0"/>
        <w:tabs>
          <w:tab w:val="num" w:pos="567" w:leader="none"/>
        </w:tabs>
      </w:pPr>
      <w: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/>
    </w:p>
    <w:p>
      <w:pPr>
        <w:numPr>
          <w:ilvl w:val="0"/>
          <w:numId w:val="55"/>
        </w:numPr>
        <w:ind w:left="0" w:firstLine="709"/>
        <w:spacing w:after="0"/>
        <w:tabs>
          <w:tab w:val="num" w:pos="567" w:leader="none"/>
        </w:tabs>
      </w:pPr>
      <w:r>
        <w:t xml:space="preserve">предоставление, предложение или обещание предостав</w:t>
      </w:r>
      <w:r>
        <w:t xml:space="preserve">ить иные выгоды; </w:t>
      </w:r>
      <w:r/>
    </w:p>
    <w:p>
      <w:pPr>
        <w:numPr>
          <w:ilvl w:val="0"/>
          <w:numId w:val="55"/>
        </w:numPr>
        <w:ind w:left="0" w:firstLine="709"/>
        <w:spacing w:after="0"/>
        <w:tabs>
          <w:tab w:val="num" w:pos="567" w:leader="none"/>
        </w:tabs>
      </w:pPr>
      <w:r>
        <w:t xml:space="preserve">действия, квалифицируемые российским законодательством как дача или получение взятки, коммерческий подкуп, незаконное</w:t>
      </w:r>
      <w:r>
        <w:t xml:space="preserve">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/>
    </w:p>
    <w:p>
      <w:pPr>
        <w:numPr>
          <w:ilvl w:val="1"/>
          <w:numId w:val="54"/>
        </w:numPr>
        <w:ind w:left="0" w:firstLine="567"/>
        <w:spacing w:after="0"/>
        <w:tabs>
          <w:tab w:val="num" w:pos="567" w:leader="none"/>
        </w:tabs>
      </w:pPr>
      <w:r>
        <w:rPr>
          <w:lang w:val="en-US"/>
        </w:rPr>
        <w:t xml:space="preserve">C</w:t>
      </w:r>
      <w:r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</w:t>
      </w:r>
      <w:r>
        <w:t xml:space="preserve"> в определенную зависимость и направленного на обеспечение выполнения этим работником каких-либо действий в пользу Участника. </w:t>
      </w:r>
      <w:r/>
    </w:p>
    <w:p>
      <w:pPr>
        <w:numPr>
          <w:ilvl w:val="1"/>
          <w:numId w:val="54"/>
        </w:numPr>
        <w:ind w:left="0" w:firstLine="567"/>
        <w:spacing w:after="0"/>
        <w:tabs>
          <w:tab w:val="num" w:pos="567" w:leader="none"/>
        </w:tabs>
      </w:pPr>
      <w:r>
        <w:t xml:space="preserve">Под действиями работника Заказчика/Организатора закупки, осуществляемыми в пользу Участника, понимаются:</w:t>
      </w:r>
      <w:r/>
    </w:p>
    <w:p>
      <w:pPr>
        <w:numPr>
          <w:ilvl w:val="0"/>
          <w:numId w:val="53"/>
        </w:numPr>
        <w:ind w:left="0" w:firstLine="709"/>
        <w:spacing w:after="0"/>
        <w:tabs>
          <w:tab w:val="num" w:pos="567" w:leader="none"/>
        </w:tabs>
      </w:pPr>
      <w:r>
        <w:t xml:space="preserve">предоставление неоправда</w:t>
      </w:r>
      <w:r>
        <w:t xml:space="preserve">нных преимуществ по сравнению с другими участниками закупочных процедур;</w:t>
      </w:r>
      <w:r/>
    </w:p>
    <w:p>
      <w:pPr>
        <w:numPr>
          <w:ilvl w:val="0"/>
          <w:numId w:val="53"/>
        </w:numPr>
        <w:ind w:left="0" w:firstLine="709"/>
        <w:spacing w:after="0"/>
        <w:tabs>
          <w:tab w:val="num" w:pos="567" w:leader="none"/>
        </w:tabs>
      </w:pPr>
      <w:r>
        <w:t xml:space="preserve">предоставление каких-либо гарантий;</w:t>
      </w:r>
      <w:r/>
    </w:p>
    <w:p>
      <w:pPr>
        <w:numPr>
          <w:ilvl w:val="0"/>
          <w:numId w:val="53"/>
        </w:numPr>
        <w:ind w:left="0" w:firstLine="709"/>
        <w:spacing w:after="0"/>
        <w:tabs>
          <w:tab w:val="num" w:pos="567" w:leader="none"/>
        </w:tabs>
      </w:pPr>
      <w:r>
        <w:t xml:space="preserve">ускорение существующих процедур;</w:t>
      </w:r>
      <w:r/>
    </w:p>
    <w:p>
      <w:pPr>
        <w:numPr>
          <w:ilvl w:val="0"/>
          <w:numId w:val="53"/>
        </w:numPr>
        <w:ind w:left="0" w:firstLine="709"/>
        <w:spacing w:after="0"/>
        <w:tabs>
          <w:tab w:val="num" w:pos="567" w:leader="none"/>
        </w:tabs>
      </w:pPr>
      <w:r>
        <w:t xml:space="preserve">иные действия, выполняемые работником в рамках своих должностных обязанностей, но идущие в разрез с принципами про</w:t>
      </w:r>
      <w:r>
        <w:t xml:space="preserve">зрачности и открытости взаимоотношений между Участником и Заказчиком/Организатором закупки.</w:t>
      </w:r>
      <w:r/>
    </w:p>
    <w:p>
      <w:pPr>
        <w:numPr>
          <w:ilvl w:val="0"/>
          <w:numId w:val="54"/>
        </w:numPr>
        <w:ind w:left="0" w:firstLine="567"/>
        <w:spacing w:after="0"/>
        <w:tabs>
          <w:tab w:val="num" w:pos="567" w:leader="none"/>
        </w:tabs>
      </w:pPr>
      <w: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</w:t>
      </w:r>
      <w:r>
        <w:t xml:space="preserve">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</w:t>
      </w:r>
      <w:r>
        <w:t xml:space="preserve">апрещенные действия.</w:t>
      </w:r>
      <w:r/>
    </w:p>
    <w:p>
      <w:pPr>
        <w:numPr>
          <w:ilvl w:val="0"/>
          <w:numId w:val="54"/>
        </w:numPr>
        <w:ind w:left="0" w:firstLine="567"/>
        <w:spacing w:after="0"/>
        <w:tabs>
          <w:tab w:val="num" w:pos="567" w:leader="none"/>
        </w:tabs>
      </w:pPr>
      <w: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/>
    </w:p>
    <w:p>
      <w:pPr>
        <w:numPr>
          <w:ilvl w:val="0"/>
          <w:numId w:val="54"/>
        </w:numPr>
        <w:ind w:left="0" w:firstLine="567"/>
        <w:spacing w:after="0"/>
        <w:tabs>
          <w:tab w:val="num" w:pos="567" w:leader="none"/>
        </w:tabs>
      </w:pPr>
      <w:r>
        <w:t xml:space="preserve">Участник обязуется соблюдать и исполнять требования настоящих Антикоррупционных обя</w:t>
      </w:r>
      <w:r>
        <w:t xml:space="preserve">зательств на всех этапах закупочных процедур, а Заказчик имеет право требовать соблюдения таких обязанностей. </w:t>
      </w:r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</w:pPr>
      <w:r>
        <w:rPr>
          <w:b/>
          <w:bCs/>
        </w:rPr>
        <w:t xml:space="preserve">м.п.</w:t>
      </w:r>
      <w:r/>
    </w:p>
    <w:p>
      <w:r/>
      <w:r/>
    </w:p>
    <w:p>
      <w:r/>
      <w:r/>
    </w:p>
    <w:p>
      <w:pPr>
        <w:ind w:firstLine="567"/>
        <w:spacing w:after="160"/>
        <w:rPr>
          <w:rFonts w:eastAsia="Calibri"/>
          <w:b/>
          <w:i/>
        </w:rPr>
      </w:pPr>
      <w:r>
        <w:rPr>
          <w:rFonts w:eastAsia="Calibri"/>
          <w:b/>
          <w:bCs/>
          <w:i/>
          <w:iCs/>
        </w:rPr>
        <w:t xml:space="preserve">Информация о формах обратной связи ПАО «Россети» в рамках системы предупреждения и профилактики коррупции:</w:t>
      </w:r>
      <w:r>
        <w:rPr>
          <w:rFonts w:eastAsia="Calibri"/>
          <w:b/>
          <w:i/>
        </w:rPr>
      </w:r>
      <w:r>
        <w:rPr>
          <w:rFonts w:eastAsia="Calibri"/>
          <w:b/>
          <w:i/>
        </w:rPr>
      </w:r>
    </w:p>
    <w:p>
      <w:pPr>
        <w:rPr>
          <w:rFonts w:eastAsia="Calibri"/>
          <w:bCs/>
          <w:i/>
          <w:iCs/>
          <w:shd w:val="clear" w:color="auto" w:fill="ffffff"/>
        </w:rPr>
      </w:pPr>
      <w:r>
        <w:rPr>
          <w:rFonts w:eastAsia="Calibri"/>
          <w:bCs/>
          <w:i/>
        </w:rPr>
        <w:t xml:space="preserve">          В ПАО «</w:t>
      </w:r>
      <w:r>
        <w:rPr>
          <w:rFonts w:eastAsia="Calibri"/>
          <w:bCs/>
          <w:i/>
          <w:iCs/>
        </w:rPr>
        <w:t xml:space="preserve">Россети</w:t>
      </w:r>
      <w:r>
        <w:rPr>
          <w:rFonts w:eastAsia="Calibri"/>
          <w:bCs/>
          <w:i/>
        </w:rPr>
        <w:t xml:space="preserve">» действует система </w:t>
      </w:r>
      <w:r>
        <w:rPr>
          <w:rFonts w:eastAsia="Calibri"/>
          <w:bCs/>
          <w:i/>
          <w:iCs/>
        </w:rPr>
        <w:t xml:space="preserve">предупреждения и профилактики коррупции.</w:t>
      </w:r>
      <w:r>
        <w:rPr>
          <w:rFonts w:eastAsia="Calibri"/>
          <w:bCs/>
          <w:i/>
        </w:rPr>
        <w:t xml:space="preserve"> </w:t>
      </w:r>
      <w:r>
        <w:rPr>
          <w:rFonts w:eastAsia="Calibri"/>
          <w:bCs/>
          <w:i/>
          <w:shd w:val="clear" w:color="auto" w:fill="ffffff"/>
        </w:rPr>
        <w:t xml:space="preserve">Информацию о возможных фактах коррупции в ПАО «</w:t>
      </w:r>
      <w:r>
        <w:rPr>
          <w:rFonts w:eastAsia="Calibri"/>
          <w:bCs/>
          <w:i/>
          <w:iCs/>
        </w:rPr>
        <w:t xml:space="preserve">Россети</w:t>
      </w:r>
      <w:r>
        <w:rPr>
          <w:rFonts w:eastAsia="Calibri"/>
          <w:bCs/>
          <w:i/>
          <w:shd w:val="clear" w:color="auto" w:fill="ffffff"/>
        </w:rPr>
        <w:t xml:space="preserve">», а также</w:t>
      </w:r>
      <w:r>
        <w:rPr>
          <w:rFonts w:eastAsia="Calibri"/>
          <w:bCs/>
          <w:i/>
          <w:shd w:val="clear" w:color="auto" w:fill="ffffff"/>
        </w:rPr>
        <w:t xml:space="preserve"> дочерних зависимых обществах и их филиалах можно сообщить, заполнив </w:t>
      </w:r>
      <w:hyperlink r:id="rId60" w:tooltip="http://www.rosseti.ru/about/contacts/opinion/" w:history="1">
        <w:r>
          <w:rPr>
            <w:rFonts w:eastAsia="Calibri"/>
            <w:bCs/>
            <w:i/>
            <w:u w:val="single"/>
            <w:shd w:val="clear" w:color="auto" w:fill="ffffff"/>
          </w:rPr>
          <w:t xml:space="preserve">форму обратной связи</w:t>
        </w:r>
      </w:hyperlink>
      <w:r>
        <w:rPr>
          <w:rFonts w:eastAsia="Calibri"/>
          <w:bCs/>
          <w:i/>
        </w:rPr>
        <w:t xml:space="preserve"> на корпоративном веб-сайте</w:t>
      </w:r>
      <w:r>
        <w:rPr>
          <w:rFonts w:eastAsia="Calibri"/>
          <w:bCs/>
          <w:i/>
          <w:shd w:val="clear" w:color="auto" w:fill="ffffff"/>
        </w:rPr>
        <w:t xml:space="preserve">, позвонив по телефону «Горячей линии» +7 495 664-8494, или направив письменное обращение по адресу:</w:t>
      </w:r>
      <w:r>
        <w:rPr>
          <w:rFonts w:eastAsia="Calibri"/>
          <w:bCs/>
          <w:sz w:val="18"/>
          <w:szCs w:val="18"/>
          <w:lang w:eastAsia="en-US"/>
        </w:rPr>
        <w:t xml:space="preserve"> </w:t>
      </w:r>
      <w:r>
        <w:rPr>
          <w:rFonts w:eastAsia="Calibri"/>
          <w:bCs/>
          <w:i/>
          <w:shd w:val="clear" w:color="auto" w:fill="ffffff"/>
        </w:rPr>
        <w:t xml:space="preserve">121353, Москва, ул. Беловежская, д. 4</w:t>
      </w:r>
      <w:r>
        <w:rPr>
          <w:rFonts w:eastAsia="Calibri"/>
          <w:bCs/>
          <w:i/>
          <w:iCs/>
          <w:shd w:val="clear" w:color="auto" w:fill="ffffff"/>
        </w:rPr>
        <w:t xml:space="preserve">.</w:t>
      </w:r>
      <w:r>
        <w:rPr>
          <w:rFonts w:eastAsia="Calibri"/>
          <w:bCs/>
          <w:i/>
          <w:iCs/>
          <w:shd w:val="clear" w:color="auto" w:fill="ffffff"/>
        </w:rPr>
      </w:r>
      <w:r>
        <w:rPr>
          <w:rFonts w:eastAsia="Calibri"/>
          <w:bCs/>
          <w:i/>
          <w:iCs/>
          <w:shd w:val="clear" w:color="auto" w:fill="ffffff"/>
        </w:rPr>
      </w:r>
    </w:p>
    <w:p>
      <w:pPr>
        <w:jc w:val="left"/>
        <w:spacing w:after="160" w:line="259" w:lineRule="auto"/>
        <w:rPr>
          <w:rFonts w:eastAsia="Calibri"/>
          <w:bCs/>
          <w:i/>
          <w:iCs/>
          <w:shd w:val="clear" w:color="auto" w:fill="ffffff"/>
        </w:rPr>
      </w:pPr>
      <w:r/>
      <w:bookmarkStart w:id="178" w:name="_ФОРМА_Справка_о"/>
      <w:r/>
      <w:bookmarkEnd w:id="178"/>
      <w:r>
        <w:rPr>
          <w:rFonts w:eastAsia="Calibri"/>
          <w:bCs/>
          <w:i/>
          <w:iCs/>
          <w:shd w:val="clear" w:color="auto" w:fill="ffffff"/>
        </w:rPr>
        <w:br w:type="page" w:clear="all"/>
      </w:r>
      <w:r>
        <w:rPr>
          <w:rFonts w:eastAsia="Calibri"/>
          <w:bCs/>
          <w:i/>
          <w:iCs/>
          <w:shd w:val="clear" w:color="auto" w:fill="ffffff"/>
        </w:rPr>
      </w:r>
      <w:r>
        <w:rPr>
          <w:rFonts w:eastAsia="Calibri"/>
          <w:bCs/>
          <w:i/>
          <w:iCs/>
          <w:shd w:val="clear" w:color="auto" w:fill="ffffff"/>
        </w:rPr>
      </w:r>
    </w:p>
    <w:p>
      <w:pPr>
        <w:pStyle w:val="1145"/>
        <w:rPr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5"/>
        <w:rPr>
          <w:highlight w:val="white"/>
        </w:rPr>
      </w:pPr>
      <w:r/>
      <w:bookmarkStart w:id="179" w:name="_ФОРМА_СПРА_8"/>
      <w:r/>
      <w:bookmarkStart w:id="180" w:name="_ФОРМА_СПРА_7"/>
      <w:r/>
      <w:bookmarkStart w:id="181" w:name="_ФОРМА_СПРА_6"/>
      <w:r/>
      <w:bookmarkStart w:id="182" w:name="_ФОРМА_СПРА_5"/>
      <w:r/>
      <w:bookmarkStart w:id="183" w:name="_ФОРМА_СПРА_2"/>
      <w:r/>
      <w:bookmarkStart w:id="184" w:name="_Toc55"/>
      <w:r/>
      <w:bookmarkEnd w:id="179"/>
      <w:r/>
      <w:bookmarkEnd w:id="180"/>
      <w:r/>
      <w:bookmarkEnd w:id="181"/>
      <w:r/>
      <w:bookmarkEnd w:id="182"/>
      <w:r/>
      <w:bookmarkEnd w:id="183"/>
      <w:r>
        <w:rPr>
          <w:sz w:val="24"/>
          <w:szCs w:val="24"/>
          <w:highlight w:val="white"/>
        </w:rPr>
        <w:t xml:space="preserve">ФОРМА СПРАВКА О ПЕРЕЧНЕ И ОБЪЕМАХ ВЫПОЛНЕНИЯ АНАЛОГИЧНЫХ ДОГОВОРОВ</w:t>
      </w:r>
      <w:bookmarkEnd w:id="184"/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b/>
          <w:highlight w:val="white"/>
        </w:rPr>
      </w:pPr>
      <w:r>
        <w:rPr>
          <w:b/>
          <w:highlight w:val="white"/>
        </w:rPr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jc w:val="center"/>
        <w:rPr>
          <w:b/>
          <w:highlight w:val="white"/>
        </w:rPr>
      </w:pPr>
      <w:r>
        <w:rPr>
          <w:b/>
          <w:highlight w:val="white"/>
        </w:rPr>
        <w:t xml:space="preserve">Справка о перечне и объемах вы</w:t>
      </w:r>
      <w:r>
        <w:rPr>
          <w:b/>
          <w:highlight w:val="white"/>
        </w:rPr>
        <w:t xml:space="preserve">полнения аналогичных договоров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567"/>
        <w:spacing w:after="0"/>
        <w:rPr>
          <w:highlight w:val="white"/>
        </w:rPr>
      </w:pPr>
      <w:r>
        <w:rPr>
          <w:highlight w:val="white"/>
        </w:rPr>
        <w:t xml:space="preserve">Наименование закупки _______________________________________________________________________________ Лот № ________</w:t>
      </w:r>
      <w:r>
        <w:rPr>
          <w:highlight w:val="white"/>
        </w:rPr>
      </w:r>
      <w:r>
        <w:rPr>
          <w:highlight w:val="white"/>
        </w:rPr>
      </w:r>
    </w:p>
    <w:p>
      <w:pPr>
        <w:ind w:firstLine="567"/>
        <w:spacing w:after="0"/>
        <w:rPr>
          <w:highlight w:val="white"/>
        </w:rPr>
      </w:pPr>
      <w:r>
        <w:rPr>
          <w:highlight w:val="white"/>
        </w:rPr>
        <w:t xml:space="preserve">Номер извещения о проведении закупки в ЕИС: _________________________________</w:t>
      </w:r>
      <w:r>
        <w:rPr>
          <w:highlight w:val="white"/>
        </w:rPr>
      </w:r>
      <w:r>
        <w:rPr>
          <w:highlight w:val="white"/>
        </w:rPr>
      </w:r>
    </w:p>
    <w:p>
      <w:pPr>
        <w:ind w:firstLine="567"/>
        <w:spacing w:after="0"/>
        <w:rPr>
          <w:highlight w:val="white"/>
        </w:rPr>
      </w:pPr>
      <w:r>
        <w:rPr>
          <w:highlight w:val="white"/>
        </w:rPr>
        <w:t xml:space="preserve">Наименование участника закупки</w:t>
      </w:r>
      <w:r>
        <w:rPr>
          <w:highlight w:val="white"/>
        </w:rPr>
        <w:t xml:space="preserve">: _____________________________________________</w:t>
      </w:r>
      <w:r>
        <w:rPr>
          <w:highlight w:val="white"/>
        </w:rPr>
      </w:r>
      <w:r>
        <w:rPr>
          <w:highlight w:val="white"/>
        </w:rPr>
      </w:r>
    </w:p>
    <w:p>
      <w:pPr>
        <w:ind w:firstLine="567"/>
        <w:spacing w:after="0"/>
        <w:rPr>
          <w:highlight w:val="white"/>
        </w:rPr>
      </w:pPr>
      <w:r>
        <w:rPr>
          <w:highlight w:val="white"/>
        </w:rPr>
        <w:t xml:space="preserve">Юридический адрес (место нахождения) участника закупки: _______________________</w:t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14742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1134"/>
        <w:gridCol w:w="2381"/>
        <w:gridCol w:w="2552"/>
        <w:gridCol w:w="1984"/>
        <w:gridCol w:w="1560"/>
        <w:gridCol w:w="1559"/>
        <w:gridCol w:w="3118"/>
      </w:tblGrid>
      <w:tr>
        <w:tblPrEx/>
        <w:trPr>
          <w:cantSplit/>
          <w:trHeight w:val="1565"/>
          <w:tblHeader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1444"/>
              <w:ind w:left="-79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№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pStyle w:val="1444"/>
              <w:ind w:left="-79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п/п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1444"/>
              <w:ind w:left="-108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№ и дата договора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381" w:type="dxa"/>
            <w:vAlign w:val="center"/>
            <w:textDirection w:val="lrTb"/>
            <w:noWrap w:val="false"/>
          </w:tcPr>
          <w:p>
            <w:pPr>
              <w:pStyle w:val="1444"/>
              <w:ind w:left="-108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Сроки выполнения (год и месяц начала выполнения - год и месяц фактического окончания выполнения)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pStyle w:val="1444"/>
              <w:ind w:left="-108" w:right="-108"/>
              <w:jc w:val="center"/>
              <w:keepNext w:val="0"/>
              <w:spacing w:before="0" w:after="0"/>
              <w:widowControl w:val="off"/>
              <w:rPr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  <w:t xml:space="preserve">Заказч</w:t>
            </w:r>
            <w:r>
              <w:rPr>
                <w:bCs/>
                <w:sz w:val="20"/>
                <w:szCs w:val="20"/>
                <w:highlight w:val="white"/>
              </w:rPr>
              <w:t xml:space="preserve">ик по договору</w:t>
            </w: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  <w:p>
            <w:pPr>
              <w:pStyle w:val="1444"/>
              <w:ind w:left="-108" w:right="-108"/>
              <w:jc w:val="center"/>
              <w:keepNext w:val="0"/>
              <w:spacing w:before="0" w:after="0"/>
              <w:widowControl w:val="off"/>
              <w:rPr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  <w:t xml:space="preserve">(наименование, адрес, контактное лицо с указанием должности, контактные телефоны)</w:t>
            </w: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444"/>
              <w:ind w:left="-108" w:right="-108"/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Описание договора (объем и состав услуг, описание основных условий договора)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pStyle w:val="1444"/>
              <w:ind w:left="-109" w:right="-107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Сумма, рублей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pStyle w:val="1444"/>
              <w:ind w:left="-109" w:right="-107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(без НДС)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444"/>
              <w:ind w:left="-79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Сумма, рублей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pStyle w:val="1444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(с НДС)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W w:w="3118" w:type="dxa"/>
            <w:vAlign w:val="center"/>
            <w:textDirection w:val="lrTb"/>
            <w:noWrap w:val="false"/>
          </w:tcPr>
          <w:p>
            <w:pPr>
              <w:pStyle w:val="1444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Стоимость аналогичных работ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pStyle w:val="1444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i/>
                <w:sz w:val="20"/>
                <w:szCs w:val="20"/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(в случае если указанный договор включает в себя в том числе работы не являющиеся аналогичными)</w:t>
            </w:r>
            <w:r>
              <w:rPr>
                <w:i/>
                <w:sz w:val="20"/>
                <w:szCs w:val="20"/>
                <w:highlight w:val="white"/>
              </w:rPr>
            </w:r>
            <w:r>
              <w:rPr>
                <w:i/>
                <w:sz w:val="20"/>
                <w:szCs w:val="20"/>
                <w:highlight w:val="white"/>
              </w:rPr>
            </w:r>
          </w:p>
          <w:p>
            <w:pPr>
              <w:pStyle w:val="1444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Сумма, руб. без НДС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cantSplit/>
          <w:trHeight w:val="301"/>
          <w:tblHeader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1444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1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1444"/>
              <w:ind w:left="-108" w:right="-108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2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2381" w:type="dxa"/>
            <w:vAlign w:val="center"/>
            <w:textDirection w:val="lrTb"/>
            <w:noWrap w:val="false"/>
          </w:tcPr>
          <w:p>
            <w:pPr>
              <w:pStyle w:val="1444"/>
              <w:ind w:left="-108" w:right="-108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3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pStyle w:val="1444"/>
              <w:ind w:left="-108" w:right="-108"/>
              <w:jc w:val="center"/>
              <w:keepNext w:val="0"/>
              <w:spacing w:before="0" w:after="0"/>
              <w:widowControl w:val="off"/>
              <w:rPr>
                <w:b/>
                <w:bCs/>
                <w:sz w:val="20"/>
                <w:szCs w:val="20"/>
                <w:highlight w:val="white"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  <w:t xml:space="preserve">4</w:t>
            </w:r>
            <w:r>
              <w:rPr>
                <w:b/>
                <w:bCs/>
                <w:sz w:val="20"/>
                <w:szCs w:val="20"/>
                <w:highlight w:val="white"/>
              </w:rPr>
            </w:r>
            <w:r>
              <w:rPr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444"/>
              <w:ind w:left="-108" w:right="-108"/>
              <w:jc w:val="center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5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pStyle w:val="1444"/>
              <w:ind w:left="-109" w:right="-107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6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444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7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W w:w="3118" w:type="dxa"/>
            <w:vAlign w:val="center"/>
            <w:textDirection w:val="lrTb"/>
            <w:noWrap w:val="false"/>
          </w:tcPr>
          <w:p>
            <w:pPr>
              <w:pStyle w:val="1444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8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</w:tr>
      <w:tr>
        <w:tblPrEx/>
        <w:trPr>
          <w:cantSplit/>
          <w:tblHeader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1444"/>
              <w:jc w:val="center"/>
              <w:keepNext w:val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1444"/>
              <w:ind w:left="-108" w:right="-108"/>
              <w:jc w:val="center"/>
              <w:keepNext w:val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381" w:type="dxa"/>
            <w:vAlign w:val="center"/>
            <w:textDirection w:val="lrTb"/>
            <w:noWrap w:val="false"/>
          </w:tcPr>
          <w:p>
            <w:pPr>
              <w:pStyle w:val="1444"/>
              <w:ind w:left="-108" w:right="-108"/>
              <w:jc w:val="center"/>
              <w:keepNext w:val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pStyle w:val="1444"/>
              <w:ind w:left="-108" w:right="-108"/>
              <w:jc w:val="center"/>
              <w:keepNext w:val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444"/>
              <w:jc w:val="center"/>
              <w:keepNext w:val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444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444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  <w:tc>
          <w:tcPr>
            <w:tcW w:w="3118" w:type="dxa"/>
            <w:vAlign w:val="center"/>
            <w:textDirection w:val="lrTb"/>
            <w:noWrap w:val="false"/>
          </w:tcPr>
          <w:p>
            <w:pPr>
              <w:pStyle w:val="1444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cantSplit/>
          <w:trHeight w:val="250"/>
        </w:trPr>
        <w:tc>
          <w:tcPr>
            <w:tcW w:w="454" w:type="dxa"/>
            <w:textDirection w:val="lrTb"/>
            <w:noWrap w:val="false"/>
          </w:tcPr>
          <w:p>
            <w:pPr>
              <w:ind w:left="-79" w:right="-108"/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446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pStyle w:val="1446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446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33"/>
              <w:tabs>
                <w:tab w:val="left" w:pos="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446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446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446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cantSplit/>
          <w:trHeight w:val="250"/>
        </w:trPr>
        <w:tc>
          <w:tcPr>
            <w:tcW w:w="454" w:type="dxa"/>
            <w:textDirection w:val="lrTb"/>
            <w:noWrap w:val="false"/>
          </w:tcPr>
          <w:p>
            <w:pPr>
              <w:ind w:left="176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…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446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pStyle w:val="1446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446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33"/>
              <w:tabs>
                <w:tab w:val="left" w:pos="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446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446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446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cantSplit/>
          <w:trHeight w:val="70"/>
        </w:trPr>
        <w:tc>
          <w:tcPr>
            <w:gridSpan w:val="5"/>
            <w:tcW w:w="8505" w:type="dxa"/>
            <w:textDirection w:val="lrTb"/>
            <w:noWrap w:val="false"/>
          </w:tcPr>
          <w:p>
            <w:pPr>
              <w:pStyle w:val="1446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ВСЕГО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446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446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446"/>
              <w:jc w:val="center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</w:tr>
    </w:tbl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000000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bottom w:val="single" w:color="000000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960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highlight w:val="white"/>
                <w:vertAlign w:val="subscript"/>
              </w:rPr>
            </w:pPr>
            <w:r>
              <w:rPr>
                <w:bCs/>
                <w:sz w:val="28"/>
                <w:szCs w:val="28"/>
                <w:highlight w:val="white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highlight w:val="white"/>
                <w:vertAlign w:val="subscript"/>
              </w:rPr>
            </w:r>
            <w:r>
              <w:rPr>
                <w:bCs/>
                <w:sz w:val="28"/>
                <w:szCs w:val="28"/>
                <w:highlight w:val="white"/>
                <w:vertAlign w:val="subscript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highlight w:val="white"/>
                <w:vertAlign w:val="subscript"/>
              </w:rPr>
            </w:pPr>
            <w:r>
              <w:rPr>
                <w:bCs/>
                <w:sz w:val="28"/>
                <w:szCs w:val="28"/>
                <w:highlight w:val="white"/>
                <w:vertAlign w:val="subscript"/>
              </w:rPr>
            </w:r>
            <w:r>
              <w:rPr>
                <w:bCs/>
                <w:sz w:val="28"/>
                <w:szCs w:val="28"/>
                <w:highlight w:val="white"/>
                <w:vertAlign w:val="subscript"/>
              </w:rPr>
            </w:r>
            <w:r>
              <w:rPr>
                <w:bCs/>
                <w:sz w:val="28"/>
                <w:szCs w:val="28"/>
                <w:highlight w:val="white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524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highlight w:val="white"/>
                <w:vertAlign w:val="subscript"/>
              </w:rPr>
            </w:pPr>
            <w:r>
              <w:rPr>
                <w:bCs/>
                <w:sz w:val="28"/>
                <w:szCs w:val="28"/>
                <w:highlight w:val="white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highlight w:val="white"/>
                <w:vertAlign w:val="subscript"/>
              </w:rPr>
            </w:r>
            <w:r>
              <w:rPr>
                <w:bCs/>
                <w:sz w:val="28"/>
                <w:szCs w:val="28"/>
                <w:highlight w:val="white"/>
                <w:vertAlign w:val="subscript"/>
              </w:rPr>
            </w:r>
          </w:p>
        </w:tc>
      </w:tr>
    </w:tbl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b/>
          <w:bCs/>
          <w:highlight w:val="white"/>
        </w:rPr>
        <w:t xml:space="preserve">м.п.</w:t>
      </w: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567"/>
        <w:spacing w:after="0"/>
        <w:rPr>
          <w:b/>
          <w:highlight w:val="white"/>
        </w:rPr>
      </w:pPr>
      <w:r>
        <w:rPr>
          <w:b/>
          <w:highlight w:val="white"/>
        </w:rPr>
        <w:t xml:space="preserve">Инструкции по заполнению: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1457"/>
        <w:numPr>
          <w:ilvl w:val="0"/>
          <w:numId w:val="39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highlight w:val="white"/>
        </w:rPr>
      </w:r>
      <w:r>
        <w:rPr>
          <w:highlight w:val="white"/>
        </w:rPr>
      </w:r>
    </w:p>
    <w:p>
      <w:pPr>
        <w:pStyle w:val="1457"/>
        <w:numPr>
          <w:ilvl w:val="0"/>
          <w:numId w:val="39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</w:t>
      </w:r>
      <w:r>
        <w:rPr>
          <w:highlight w:val="white"/>
        </w:rPr>
        <w:t xml:space="preserve">ении закупки в ЕИС.</w:t>
      </w:r>
      <w:r>
        <w:rPr>
          <w:highlight w:val="white"/>
        </w:rPr>
      </w:r>
      <w:r>
        <w:rPr>
          <w:highlight w:val="white"/>
        </w:rPr>
      </w:r>
    </w:p>
    <w:p>
      <w:pPr>
        <w:pStyle w:val="1457"/>
        <w:numPr>
          <w:ilvl w:val="0"/>
          <w:numId w:val="39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Участник закупки приводит 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индивидуального предпринимателя.</w:t>
      </w:r>
      <w:r>
        <w:rPr>
          <w:highlight w:val="white"/>
        </w:rPr>
      </w:r>
      <w:r>
        <w:rPr>
          <w:highlight w:val="white"/>
        </w:rPr>
      </w:r>
    </w:p>
    <w:p>
      <w:pPr>
        <w:pStyle w:val="1457"/>
        <w:numPr>
          <w:ilvl w:val="0"/>
          <w:numId w:val="39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В этой</w:t>
      </w:r>
      <w:r>
        <w:rPr>
          <w:highlight w:val="white"/>
        </w:rPr>
        <w:t xml:space="preserve"> форме Участник закупки указывает перечень и годовые объемы выполнения всех аналогичных договоров, сопоставимых по объемам, срокам выполнения и прочим требованиям, установленным в документации о закупке.</w:t>
      </w:r>
      <w:r>
        <w:rPr>
          <w:highlight w:val="white"/>
        </w:rPr>
      </w:r>
      <w:r>
        <w:rPr>
          <w:highlight w:val="white"/>
        </w:rPr>
      </w:r>
    </w:p>
    <w:p>
      <w:pPr>
        <w:pStyle w:val="1457"/>
        <w:numPr>
          <w:ilvl w:val="0"/>
          <w:numId w:val="39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Участник закупки должен указать фактически выполненн</w:t>
      </w:r>
      <w:r>
        <w:rPr>
          <w:highlight w:val="white"/>
        </w:rPr>
        <w:t xml:space="preserve">ые по договорам объемы работ.</w:t>
      </w:r>
      <w:r>
        <w:rPr>
          <w:highlight w:val="white"/>
        </w:rPr>
      </w:r>
      <w:r>
        <w:rPr>
          <w:highlight w:val="white"/>
        </w:rPr>
      </w:r>
    </w:p>
    <w:p>
      <w:pPr>
        <w:pStyle w:val="1457"/>
        <w:numPr>
          <w:ilvl w:val="0"/>
          <w:numId w:val="39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Участник закупки должен указать опыт исполнения договоров за последние 3 (три) года на дату размещения извещения о закупке на официальном сайте единой информационной системы в сфере закупок в информационно-телекоммуникационной</w:t>
      </w:r>
      <w:r>
        <w:rPr>
          <w:highlight w:val="white"/>
        </w:rPr>
        <w:t xml:space="preserve"> сети Интернет.</w:t>
      </w:r>
      <w:r>
        <w:rPr>
          <w:highlight w:val="white"/>
        </w:rPr>
      </w:r>
      <w:r>
        <w:rPr>
          <w:highlight w:val="white"/>
        </w:rPr>
      </w:r>
    </w:p>
    <w:p>
      <w:pPr>
        <w:pStyle w:val="1457"/>
        <w:numPr>
          <w:ilvl w:val="0"/>
          <w:numId w:val="39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В случае если Участник указывает в настоящей справке сведения о договоре, включающем в себя как объем аналогичных работ, так и объем работ, не являющихся аналогичными в соответствии с требованиями, указанными в документации о закупке, в так</w:t>
      </w:r>
      <w:r>
        <w:rPr>
          <w:highlight w:val="white"/>
        </w:rPr>
        <w:t xml:space="preserve">ом случае Участник должен в гр. 8 данной формы указать объем аналогичных работ, выполненных по указанному договору выраженный в рублях без учета НДС.</w:t>
      </w:r>
      <w:r>
        <w:rPr>
          <w:highlight w:val="white"/>
        </w:rPr>
      </w:r>
      <w:r>
        <w:rPr>
          <w:highlight w:val="white"/>
        </w:rPr>
      </w:r>
    </w:p>
    <w:p>
      <w:pPr>
        <w:pStyle w:val="1457"/>
        <w:numPr>
          <w:ilvl w:val="0"/>
          <w:numId w:val="39"/>
        </w:numPr>
        <w:ind w:left="0" w:firstLine="709"/>
        <w:jc w:val="both"/>
        <w:rPr>
          <w:highlight w:val="white"/>
        </w:rPr>
        <w:sectPr>
          <w:footnotePr/>
          <w:endnotePr/>
          <w:type w:val="nextPage"/>
          <w:pgSz w:w="16838" w:h="11906" w:orient="landscape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b/>
          <w:highlight w:val="white"/>
        </w:rPr>
        <w:t xml:space="preserve">Участнику закупки должен приложить файл данной формы, выполненный в редактируемом формате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1145"/>
        <w:rPr>
          <w:rFonts w:eastAsiaTheme="majorEastAsia"/>
          <w:sz w:val="24"/>
          <w:szCs w:val="24"/>
          <w:highlight w:val="white"/>
        </w:rPr>
      </w:pPr>
      <w:r/>
      <w:bookmarkStart w:id="185" w:name="_ФОРМА_Комм"/>
      <w:r/>
      <w:bookmarkStart w:id="186" w:name="_ФОРМА_Коммерческое_предложение"/>
      <w:r/>
      <w:bookmarkStart w:id="187" w:name="_Toc56"/>
      <w:r/>
      <w:bookmarkEnd w:id="185"/>
      <w:r/>
      <w:bookmarkEnd w:id="186"/>
      <w:r>
        <w:rPr>
          <w:sz w:val="24"/>
          <w:szCs w:val="24"/>
          <w:highlight w:val="white"/>
        </w:rPr>
        <w:t xml:space="preserve">ФОРМА КОММЕРЧЕСКОЕ ПРЕДЛОЖЕНИЕ</w:t>
      </w:r>
      <w:bookmarkEnd w:id="187"/>
      <w:r>
        <w:rPr>
          <w:rFonts w:eastAsiaTheme="majorEastAsia"/>
          <w:sz w:val="24"/>
          <w:szCs w:val="24"/>
          <w:highlight w:val="white"/>
        </w:rPr>
      </w:r>
      <w:r>
        <w:rPr>
          <w:rFonts w:eastAsiaTheme="majorEastAsia"/>
          <w:sz w:val="24"/>
          <w:szCs w:val="24"/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(представляется в составе ценового предложения)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567"/>
        <w:rPr>
          <w:b/>
          <w:highlight w:val="white"/>
        </w:rPr>
      </w:pPr>
      <w:r>
        <w:rPr>
          <w:highlight w:val="white"/>
        </w:rPr>
        <w:t xml:space="preserve">Форма коммерческого предложения участника закупки представлена в Приложении № 5 к настоящей документации о закупке.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numPr>
          <w:ilvl w:val="0"/>
          <w:numId w:val="13"/>
        </w:numPr>
        <w:ind w:left="426"/>
        <w:spacing w:after="0"/>
        <w:rPr>
          <w:b/>
          <w:highlight w:val="yellow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b/>
          <w:highlight w:val="yellow"/>
        </w:rPr>
      </w:r>
      <w:r>
        <w:rPr>
          <w:b/>
          <w:highlight w:val="yellow"/>
        </w:rPr>
      </w:r>
      <w:r>
        <w:rPr>
          <w:b/>
          <w:highlight w:val="yellow"/>
        </w:rPr>
      </w:r>
    </w:p>
    <w:p>
      <w:pPr>
        <w:pStyle w:val="1144"/>
        <w:numPr>
          <w:ilvl w:val="0"/>
          <w:numId w:val="4"/>
        </w:numPr>
        <w:ind w:left="0" w:firstLine="567"/>
        <w:pageBreakBefore/>
        <w:spacing w:before="0" w:after="0"/>
        <w:rPr>
          <w:rStyle w:val="1315"/>
          <w:rFonts w:ascii="Times New Roman" w:hAnsi="Times New Roman" w:cs="Times New Roman"/>
          <w:b w:val="0"/>
          <w:caps/>
          <w:color w:val="auto"/>
          <w:sz w:val="28"/>
          <w:szCs w:val="28"/>
        </w:rPr>
      </w:pPr>
      <w:r/>
      <w:bookmarkStart w:id="188" w:name="_IV._ПРОЕКТ"/>
      <w:r/>
      <w:bookmarkStart w:id="189" w:name="_ФОРМА_15._Справка"/>
      <w:r/>
      <w:bookmarkStart w:id="190" w:name="_ФОРМА__Справка"/>
      <w:r/>
      <w:bookmarkStart w:id="191" w:name="_ПРОЕКТ_ДОГОВОРА"/>
      <w:r/>
      <w:bookmarkStart w:id="192" w:name="_Toc57"/>
      <w:r/>
      <w:bookmarkEnd w:id="188"/>
      <w:r/>
      <w:bookmarkEnd w:id="189"/>
      <w:r/>
      <w:bookmarkEnd w:id="190"/>
      <w:r/>
      <w:bookmarkEnd w:id="191"/>
      <w:r>
        <w:rPr>
          <w:rStyle w:val="1315"/>
          <w:rFonts w:ascii="Times New Roman" w:hAnsi="Times New Roman" w:cs="Times New Roman"/>
          <w:caps/>
          <w:color w:val="auto"/>
          <w:sz w:val="28"/>
          <w:szCs w:val="28"/>
        </w:rPr>
        <w:t xml:space="preserve">ПРОЕКТ ДОГОВОРА</w:t>
      </w:r>
      <w:bookmarkEnd w:id="192"/>
      <w:r>
        <w:rPr>
          <w:rStyle w:val="1315"/>
          <w:rFonts w:ascii="Times New Roman" w:hAnsi="Times New Roman" w:cs="Times New Roman"/>
          <w:b w:val="0"/>
          <w:caps/>
          <w:color w:val="auto"/>
          <w:sz w:val="28"/>
          <w:szCs w:val="28"/>
        </w:rPr>
      </w:r>
      <w:r>
        <w:rPr>
          <w:rStyle w:val="1315"/>
          <w:rFonts w:ascii="Times New Roman" w:hAnsi="Times New Roman" w:cs="Times New Roman"/>
          <w:b w:val="0"/>
          <w:caps/>
          <w:color w:val="auto"/>
          <w:sz w:val="28"/>
          <w:szCs w:val="28"/>
        </w:rPr>
      </w:r>
    </w:p>
    <w:p>
      <w:r/>
      <w:r/>
    </w:p>
    <w:p>
      <w:pPr>
        <w:ind w:firstLine="567"/>
      </w:pPr>
      <w:r>
        <w:rPr>
          <w:bCs/>
        </w:rPr>
        <w:t xml:space="preserve">Проект договора представле</w:t>
      </w:r>
      <w:r>
        <w:rPr>
          <w:bCs/>
        </w:rPr>
        <w:t xml:space="preserve">н в виде отдельного файла в составе Приложения №1 к документации о закупке.</w:t>
      </w:r>
      <w:r/>
    </w:p>
    <w:p>
      <w:pPr>
        <w:jc w:val="left"/>
        <w:spacing w:after="0"/>
        <w:rPr>
          <w:bCs/>
        </w:rPr>
      </w:pPr>
      <w:r>
        <w:rPr>
          <w:rStyle w:val="1315"/>
          <w:caps/>
          <w:sz w:val="28"/>
          <w:szCs w:val="28"/>
        </w:rPr>
        <w:br w:type="page" w:clear="all"/>
      </w:r>
      <w:r>
        <w:rPr>
          <w:bCs/>
        </w:rPr>
      </w:r>
      <w:r>
        <w:rPr>
          <w:bCs/>
        </w:rPr>
      </w:r>
    </w:p>
    <w:p>
      <w:pPr>
        <w:pStyle w:val="1144"/>
        <w:numPr>
          <w:ilvl w:val="0"/>
          <w:numId w:val="4"/>
        </w:numPr>
        <w:ind w:left="0" w:firstLine="567"/>
        <w:spacing w:before="0" w:after="0"/>
        <w:rPr>
          <w:rStyle w:val="1315"/>
          <w:rFonts w:ascii="Times New Roman" w:hAnsi="Times New Roman" w:cs="Times New Roman"/>
          <w:b w:val="0"/>
          <w:color w:val="auto"/>
          <w:sz w:val="28"/>
          <w:szCs w:val="28"/>
        </w:rPr>
      </w:pPr>
      <w:r/>
      <w:bookmarkStart w:id="193" w:name="_V._ТЕХНИЧЕ"/>
      <w:r/>
      <w:bookmarkStart w:id="194" w:name="_ТЕХНИЧЕСКАЯ_ЧАСТЬ"/>
      <w:r/>
      <w:bookmarkStart w:id="195" w:name="_Toc58"/>
      <w:r/>
      <w:bookmarkEnd w:id="193"/>
      <w:r/>
      <w:bookmarkEnd w:id="194"/>
      <w:r>
        <w:rPr>
          <w:rStyle w:val="1315"/>
          <w:rFonts w:ascii="Times New Roman" w:hAnsi="Times New Roman" w:cs="Times New Roman"/>
          <w:color w:val="auto"/>
          <w:sz w:val="28"/>
          <w:szCs w:val="28"/>
        </w:rPr>
        <w:t xml:space="preserve">ТЕХНИЧЕСКАЯ ЧАСТЬ</w:t>
      </w:r>
      <w:bookmarkEnd w:id="195"/>
      <w:r>
        <w:rPr>
          <w:rStyle w:val="1315"/>
          <w:rFonts w:ascii="Times New Roman" w:hAnsi="Times New Roman" w:cs="Times New Roman"/>
          <w:b w:val="0"/>
          <w:color w:val="auto"/>
          <w:sz w:val="28"/>
          <w:szCs w:val="28"/>
        </w:rPr>
      </w:r>
      <w:r>
        <w:rPr>
          <w:rStyle w:val="1315"/>
          <w:rFonts w:ascii="Times New Roman" w:hAnsi="Times New Roman" w:cs="Times New Roman"/>
          <w:b w:val="0"/>
          <w:color w:val="auto"/>
          <w:sz w:val="28"/>
          <w:szCs w:val="28"/>
        </w:rPr>
      </w:r>
    </w:p>
    <w:p>
      <w:r/>
      <w:r/>
    </w:p>
    <w:p>
      <w:pPr>
        <w:ind w:firstLine="567"/>
      </w:pPr>
      <w:r>
        <w:rPr>
          <w:bCs/>
        </w:rPr>
        <w:t xml:space="preserve">Технические требования к продукции (предмету закупки) представлены в виде отдельного файла в составе Приложения №2 к документации о закупке.</w:t>
      </w:r>
      <w:r/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left"/>
        <w:spacing w:after="160" w:line="259" w:lineRule="auto"/>
        <w:rPr>
          <w:rStyle w:val="1315"/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Style w:val="1315"/>
          <w:rFonts w:ascii="Times New Roman" w:hAnsi="Times New Roman" w:cs="Times New Roman"/>
          <w:color w:val="auto"/>
          <w:sz w:val="28"/>
          <w:szCs w:val="28"/>
        </w:rPr>
        <w:br w:type="page" w:clear="all"/>
      </w:r>
      <w:r>
        <w:rPr>
          <w:rStyle w:val="1315"/>
          <w:rFonts w:ascii="Times New Roman" w:hAnsi="Times New Roman" w:cs="Times New Roman"/>
          <w:b/>
          <w:bCs/>
          <w:color w:val="auto"/>
          <w:sz w:val="28"/>
          <w:szCs w:val="28"/>
        </w:rPr>
      </w:r>
      <w:r>
        <w:rPr>
          <w:rStyle w:val="1315"/>
          <w:rFonts w:ascii="Times New Roman" w:hAnsi="Times New Roman" w:cs="Times New Roman"/>
          <w:b/>
          <w:bCs/>
          <w:color w:val="auto"/>
          <w:sz w:val="28"/>
          <w:szCs w:val="28"/>
        </w:rPr>
      </w:r>
    </w:p>
    <w:p>
      <w:pPr>
        <w:pStyle w:val="1144"/>
        <w:numPr>
          <w:ilvl w:val="0"/>
          <w:numId w:val="4"/>
        </w:numPr>
        <w:ind w:left="0" w:firstLine="567"/>
        <w:spacing w:before="0" w:after="0"/>
        <w:rPr>
          <w:rStyle w:val="1315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/>
      <w:bookmarkStart w:id="196" w:name="_ОБОСНОВАНИЕ_НМЦ"/>
      <w:r/>
      <w:bookmarkStart w:id="197" w:name="_Toc59"/>
      <w:r/>
      <w:bookmarkEnd w:id="196"/>
      <w:r>
        <w:rPr>
          <w:rStyle w:val="1315"/>
          <w:rFonts w:ascii="Times New Roman" w:hAnsi="Times New Roman" w:cs="Times New Roman"/>
          <w:color w:val="auto"/>
          <w:sz w:val="28"/>
          <w:szCs w:val="28"/>
        </w:rPr>
        <w:t xml:space="preserve">ОБОСНОВАНИЕ НМЦ</w:t>
      </w:r>
      <w:bookmarkEnd w:id="197"/>
      <w:r>
        <w:rPr>
          <w:rStyle w:val="1315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  <w:r>
        <w:rPr>
          <w:rStyle w:val="1315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</w:p>
    <w:p>
      <w:r/>
      <w:r/>
    </w:p>
    <w:p>
      <w:pPr>
        <w:ind w:firstLine="567"/>
      </w:pPr>
      <w:r>
        <w:rPr>
          <w:bCs/>
        </w:rPr>
        <w:t xml:space="preserve">Обоснование НМЦ представлено в виде отдельного файла в составе Приложения №3 к документации о закупке.</w:t>
      </w:r>
      <w:r/>
    </w:p>
    <w:p>
      <w:pPr>
        <w:jc w:val="left"/>
        <w:spacing w:after="160" w:line="259" w:lineRule="auto"/>
        <w:rPr>
          <w:bCs/>
        </w:rPr>
      </w:pPr>
      <w:r>
        <w:rPr>
          <w:bCs/>
        </w:rPr>
        <w:br w:type="page" w:clear="all"/>
      </w:r>
      <w:r>
        <w:rPr>
          <w:bCs/>
        </w:rPr>
      </w:r>
      <w:r>
        <w:rPr>
          <w:bCs/>
        </w:rPr>
      </w:r>
    </w:p>
    <w:p>
      <w:pPr>
        <w:pStyle w:val="1144"/>
        <w:numPr>
          <w:ilvl w:val="0"/>
          <w:numId w:val="4"/>
        </w:numPr>
        <w:ind w:left="0" w:firstLine="567"/>
        <w:spacing w:before="0" w:after="0"/>
      </w:pPr>
      <w:r/>
      <w:bookmarkStart w:id="198" w:name="_VII._ТИПОВ"/>
      <w:r/>
      <w:bookmarkStart w:id="199" w:name="_Типовые_формы_независимых"/>
      <w:r/>
      <w:bookmarkStart w:id="200" w:name="_Hlk121332483"/>
      <w:r/>
      <w:bookmarkStart w:id="201" w:name="_Toc60"/>
      <w:r/>
      <w:bookmarkEnd w:id="198"/>
      <w:r/>
      <w:bookmarkEnd w:id="199"/>
      <w:r>
        <w:rPr>
          <w:sz w:val="28"/>
          <w:szCs w:val="28"/>
        </w:rPr>
        <w:t xml:space="preserve">ТИПОВ</w:t>
      </w:r>
      <w:r>
        <w:rPr>
          <w:rFonts w:eastAsiaTheme="majorEastAsia"/>
          <w:sz w:val="28"/>
          <w:szCs w:val="28"/>
        </w:rPr>
        <w:t xml:space="preserve">ЫЕ</w:t>
      </w:r>
      <w:r>
        <w:rPr>
          <w:sz w:val="28"/>
          <w:szCs w:val="28"/>
        </w:rPr>
        <w:t xml:space="preserve"> ФОРМ</w:t>
      </w:r>
      <w:r>
        <w:rPr>
          <w:rFonts w:eastAsiaTheme="majorEastAsia"/>
          <w:sz w:val="28"/>
          <w:szCs w:val="28"/>
        </w:rPr>
        <w:t xml:space="preserve">Ы</w:t>
      </w:r>
      <w:r>
        <w:rPr>
          <w:sz w:val="28"/>
          <w:szCs w:val="28"/>
        </w:rPr>
        <w:t xml:space="preserve"> НЕЗАВИСИМ</w:t>
      </w:r>
      <w:r>
        <w:rPr>
          <w:rFonts w:eastAsiaTheme="majorEastAsia"/>
          <w:sz w:val="28"/>
          <w:szCs w:val="28"/>
        </w:rPr>
        <w:t xml:space="preserve">ЫХ ГАРАНТИЙ</w:t>
      </w:r>
      <w:bookmarkEnd w:id="200"/>
      <w:r/>
      <w:bookmarkEnd w:id="201"/>
      <w:r/>
      <w:r/>
    </w:p>
    <w:p>
      <w:pPr>
        <w:jc w:val="center"/>
        <w:spacing w:after="0"/>
        <w:widowControl w:val="o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  <w:t xml:space="preserve">Типовая форма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i/>
        </w:rPr>
      </w:pPr>
      <w:r>
        <w:rPr>
          <w:b/>
          <w:i/>
        </w:rPr>
        <w:t xml:space="preserve"> независимой гарантии обеспечения заявки участника закупочной процедуры</w:t>
      </w:r>
      <w:r>
        <w:rPr>
          <w:b/>
          <w:i/>
        </w:rPr>
      </w:r>
      <w:r>
        <w:rPr>
          <w:b/>
          <w:i/>
        </w:rPr>
      </w:r>
    </w:p>
    <w:p>
      <w:pPr>
        <w:ind w:firstLine="3420"/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rFonts w:eastAsia="Arial Unicode MS"/>
          <w:color w:val="000000"/>
        </w:rPr>
        <w:t xml:space="preserve"> </w:t>
      </w:r>
      <w:r>
        <w:rPr>
          <w:b/>
          <w:bCs/>
        </w:rPr>
        <w:t xml:space="preserve"> НЕЗАВИСИМАЯ ГАРАНТИЯ № _</w:t>
      </w:r>
      <w:r>
        <w:rPr>
          <w:b/>
          <w:bCs/>
        </w:rPr>
        <w:t xml:space="preserve">_____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widowControl w:val="off"/>
      </w:pPr>
      <w:r>
        <w:t xml:space="preserve">г. 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«___»__________20__ г.</w:t>
      </w:r>
      <w:r/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spacing w:after="0"/>
        <w:widowControl w:val="off"/>
        <w:rPr>
          <w:i/>
        </w:rPr>
      </w:pPr>
      <w:r>
        <w:rPr>
          <w:bCs/>
        </w:rPr>
        <w:t xml:space="preserve"> </w:t>
      </w:r>
      <w:r>
        <w:t xml:space="preserve">Мы информированы о том, что________________________ </w:t>
      </w:r>
      <w:r>
        <w:rPr>
          <w:i/>
        </w:rPr>
        <w:t xml:space="preserve">(</w:t>
      </w:r>
      <w:r>
        <w:rPr>
          <w:bCs/>
          <w:i/>
        </w:rPr>
        <w:t xml:space="preserve">наименование, ИНН</w:t>
      </w:r>
      <w:r>
        <w:rPr>
          <w:bCs/>
        </w:rPr>
        <w:t xml:space="preserve">), </w:t>
      </w:r>
      <w:r>
        <w:t xml:space="preserve">именуемое в дальнейшем «Принципал», намерен участвовать в закупке на ___________________________________ </w:t>
      </w:r>
      <w:r>
        <w:rPr>
          <w:i/>
        </w:rPr>
        <w:t xml:space="preserve">(предмет закупки)</w:t>
      </w:r>
      <w:r>
        <w:t xml:space="preserve">, проводимой </w:t>
      </w:r>
      <w:r>
        <w:rPr>
          <w:bCs/>
        </w:rPr>
        <w:t xml:space="preserve">_____________________ (</w:t>
      </w:r>
      <w:r>
        <w:rPr>
          <w:bCs/>
          <w:i/>
        </w:rPr>
        <w:t xml:space="preserve">наименование бенефициара,</w:t>
      </w:r>
      <w:r>
        <w:rPr>
          <w:i/>
        </w:rPr>
        <w:t xml:space="preserve"> ИНН)</w:t>
      </w:r>
      <w:r>
        <w:t xml:space="preserve">, именуемым в дальнейшем «Бенефициар»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ind w:firstLine="709"/>
        <w:spacing w:after="0"/>
        <w:widowControl w:val="off"/>
      </w:pPr>
      <w:r>
        <w:t xml:space="preserve">В соответствии с условиями Закупочной документации Принципал обязан предоставить Бенефициару финансовое обеспечение заявки Принципала на сумму в размер</w:t>
      </w:r>
      <w:r>
        <w:t xml:space="preserve">е ___________________________</w:t>
      </w:r>
      <w:r>
        <w:rPr>
          <w:i/>
        </w:rPr>
        <w:t xml:space="preserve"> (сумма цифрами и прописью</w:t>
      </w:r>
      <w:r>
        <w:t xml:space="preserve">).</w:t>
      </w:r>
      <w:r/>
    </w:p>
    <w:p>
      <w:pPr>
        <w:ind w:firstLine="709"/>
        <w:spacing w:after="0"/>
        <w:widowControl w:val="off"/>
        <w:tabs>
          <w:tab w:val="left" w:pos="1080" w:leader="none"/>
          <w:tab w:val="left" w:pos="9180" w:leader="none"/>
        </w:tabs>
      </w:pPr>
      <w:r>
        <w:t xml:space="preserve">Учитывая вышеизложенное, по просьбе Принципала, мы, _________________________________ (</w:t>
      </w:r>
      <w:r>
        <w:rPr>
          <w:i/>
        </w:rPr>
        <w:t xml:space="preserve">реквизиты гаранта: наименование, ИНН, реквизиты лицензии на осуществлении банковских операций</w:t>
      </w:r>
      <w:r>
        <w:rPr>
          <w:bCs/>
          <w:i/>
        </w:rPr>
        <w:t xml:space="preserve">/иных документов, подтверждающих наличие у гаранта права на выдачу независимых гарантий</w:t>
      </w:r>
      <w:r>
        <w:rPr>
          <w:rStyle w:val="1347"/>
        </w:rPr>
        <w:footnoteReference w:id="25"/>
      </w:r>
      <w:r>
        <w:rPr>
          <w:rStyle w:val="1347"/>
        </w:rPr>
        <w:t xml:space="preserve">1</w:t>
      </w:r>
      <w:r>
        <w:t xml:space="preserve">), в лице </w:t>
      </w:r>
      <w:r>
        <w:rPr>
          <w:i/>
        </w:rPr>
        <w:t xml:space="preserve">_____________(Ф.И.О. уполномоченного действовать от имени гаранта лица</w:t>
      </w:r>
      <w:r>
        <w:t xml:space="preserve">), действующего на основании _____________ (</w:t>
      </w:r>
      <w:r>
        <w:rPr>
          <w:i/>
        </w:rPr>
        <w:t xml:space="preserve">реквизиты доверенности)</w:t>
      </w:r>
      <w:r>
        <w:t xml:space="preserve">, именуемый в дальне</w:t>
      </w:r>
      <w:r>
        <w:t xml:space="preserve">йшем «Гарант», настоящим принимаем на себя безотзывное и безусловное обязательство выплатить по первому письменному требованию Бенефициара любую сумму, не превышающую __________________ </w:t>
      </w:r>
      <w:r>
        <w:rPr>
          <w:i/>
        </w:rPr>
        <w:t xml:space="preserve">(сумма цифрами и прописью</w:t>
      </w:r>
      <w:r>
        <w:t xml:space="preserve">), в случае:</w:t>
      </w:r>
      <w:r/>
    </w:p>
    <w:p>
      <w:pPr>
        <w:pStyle w:val="1457"/>
        <w:numPr>
          <w:ilvl w:val="0"/>
          <w:numId w:val="57"/>
        </w:numPr>
        <w:ind w:left="0" w:firstLine="709"/>
        <w:jc w:val="both"/>
      </w:pPr>
      <w:r>
        <w:t xml:space="preserve">непредставления или предоставлен</w:t>
      </w:r>
      <w:r>
        <w:t xml:space="preserve">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</w:t>
      </w:r>
      <w:r>
        <w:t xml:space="preserve">говора и срок его предоставления до заключения договора);</w:t>
      </w:r>
      <w:r/>
    </w:p>
    <w:p>
      <w:pPr>
        <w:pStyle w:val="1457"/>
        <w:numPr>
          <w:ilvl w:val="0"/>
          <w:numId w:val="57"/>
        </w:numPr>
        <w:ind w:left="0" w:firstLine="709"/>
        <w:jc w:val="both"/>
      </w:pPr>
      <w:r>
        <w:t xml:space="preserve">уклонения или отказа участника закупки от заключения договора</w:t>
      </w:r>
      <w:r/>
    </w:p>
    <w:p>
      <w:pPr>
        <w:ind w:firstLine="709"/>
        <w:spacing w:after="0"/>
        <w:widowControl w:val="off"/>
        <w:tabs>
          <w:tab w:val="left" w:pos="1080" w:leader="none"/>
        </w:tabs>
      </w:pPr>
      <w:r>
        <w:t xml:space="preserve">без споров и возражений с нашей стороны, не требуя от Бенефициара доказательств или обоснований требования на определенную в настоящей н</w:t>
      </w:r>
      <w:r>
        <w:t xml:space="preserve">езависимой гарантии сумму.</w:t>
      </w:r>
      <w:r/>
    </w:p>
    <w:p>
      <w:pPr>
        <w:ind w:firstLine="709"/>
        <w:spacing w:after="0"/>
        <w:widowControl w:val="off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Ответственность Гаранта за неисполнение требования по настоящей независимой гарантии не ограничивается суммой, на которую она выдана.</w:t>
      </w:r>
      <w:r>
        <w:rPr>
          <w:rFonts w:eastAsia="Arial Unicode MS"/>
          <w:color w:val="000000"/>
        </w:rPr>
      </w:r>
      <w:r>
        <w:rPr>
          <w:rFonts w:eastAsia="Arial Unicode MS"/>
          <w:color w:val="000000"/>
        </w:rPr>
      </w:r>
    </w:p>
    <w:p>
      <w:pPr>
        <w:ind w:firstLine="709"/>
        <w:spacing w:after="0"/>
        <w:widowControl w:val="off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За неисполнение принятых обязательств по независимой гарантии Гарант несет ответственность, пре</w:t>
      </w:r>
      <w:r>
        <w:rPr>
          <w:rFonts w:eastAsia="Arial Unicode MS"/>
          <w:color w:val="000000"/>
        </w:rPr>
        <w:t xml:space="preserve">дусмотренную законодательством Российской Федерации.</w:t>
      </w:r>
      <w:r>
        <w:tab/>
      </w:r>
      <w:r>
        <w:rPr>
          <w:rFonts w:eastAsia="Arial Unicode MS"/>
          <w:color w:val="000000"/>
        </w:rPr>
      </w:r>
      <w:r>
        <w:rPr>
          <w:rFonts w:eastAsia="Arial Unicode MS"/>
          <w:color w:val="000000"/>
        </w:rPr>
      </w:r>
    </w:p>
    <w:p>
      <w:pPr>
        <w:ind w:firstLine="709"/>
        <w:spacing w:after="0"/>
        <w:widowControl w:val="off"/>
        <w:tabs>
          <w:tab w:val="left" w:pos="1080" w:leader="none"/>
        </w:tabs>
      </w:pPr>
      <w:r>
        <w:rPr>
          <w:bCs/>
        </w:rPr>
        <w:t xml:space="preserve">Настоящая независимая гарантия вступает в силу с _________20___года и действует по __________20___года (включительно). </w:t>
      </w:r>
      <w:r/>
    </w:p>
    <w:p>
      <w:pPr>
        <w:ind w:firstLine="709"/>
        <w:spacing w:after="0"/>
        <w:widowControl w:val="off"/>
      </w:pPr>
      <w:r>
        <w:rPr>
          <w:bCs/>
        </w:rPr>
        <w:t xml:space="preserve">Письменное требование платежа </w:t>
      </w:r>
      <w:r>
        <w:t xml:space="preserve">должно быть направлено </w:t>
      </w:r>
      <w:r>
        <w:rPr>
          <w:bCs/>
        </w:rPr>
        <w:t xml:space="preserve">Гаранту до 24 часов 00 минут </w:t>
      </w:r>
      <w:r>
        <w:rPr>
          <w:bCs/>
        </w:rPr>
        <w:t xml:space="preserve">«______» _________ (включительно) </w:t>
      </w:r>
      <w:r>
        <w:t xml:space="preserve">по адресу: </w:t>
      </w:r>
      <w:r>
        <w:rPr>
          <w:bCs/>
        </w:rPr>
        <w:t xml:space="preserve">__________________________</w:t>
      </w:r>
      <w:r>
        <w:t xml:space="preserve"> </w:t>
      </w:r>
      <w:r>
        <w:rPr>
          <w:bCs/>
        </w:rPr>
        <w:t xml:space="preserve">посредством почтовой связи либо передано нарочным непосредственно по адресу: _______________________.</w:t>
      </w:r>
      <w:r/>
    </w:p>
    <w:p>
      <w:pPr>
        <w:ind w:firstLine="709"/>
        <w:spacing w:after="0"/>
        <w:widowControl w:val="off"/>
        <w:rPr>
          <w:bCs/>
        </w:rPr>
      </w:pPr>
      <w:r>
        <w:rPr>
          <w:bCs/>
        </w:rPr>
        <w:t xml:space="preserve">Гарант по получении от Бенефициара письменного требования о выплате денежной суммы</w:t>
      </w:r>
      <w:r>
        <w:rPr>
          <w:rFonts w:eastAsia="Arial Unicode MS"/>
          <w:color w:val="000000"/>
        </w:rPr>
        <w:t xml:space="preserve"> по настоящей независимой гарантии</w:t>
      </w:r>
      <w:r>
        <w:rPr>
          <w:bCs/>
        </w:rPr>
        <w:t xml:space="preserve">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</w:t>
      </w:r>
      <w:r>
        <w:rPr>
          <w:bCs/>
        </w:rPr>
        <w:t xml:space="preserve">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bCs/>
        </w:rPr>
      </w:r>
      <w:r>
        <w:rPr>
          <w:bCs/>
        </w:rPr>
      </w:r>
    </w:p>
    <w:p>
      <w:pPr>
        <w:ind w:firstLine="709"/>
        <w:spacing w:after="0"/>
        <w:widowControl w:val="off"/>
      </w:pPr>
      <w:r>
        <w:rPr>
          <w:bCs/>
        </w:rPr>
        <w:t xml:space="preserve">Гарантия не может быть отозвана Гарантом</w:t>
      </w:r>
      <w:r>
        <w:rPr>
          <w:bCs/>
        </w:rPr>
        <w:t xml:space="preserve">. Передача права требования по настоящей гарантии не допускается.</w:t>
      </w:r>
      <w:r>
        <w:t xml:space="preserve"> </w:t>
      </w:r>
      <w:r/>
    </w:p>
    <w:p>
      <w:pPr>
        <w:ind w:firstLine="709"/>
        <w:spacing w:after="0"/>
        <w:widowControl w:val="off"/>
        <w:rPr>
          <w:bCs/>
        </w:rPr>
      </w:pPr>
      <w:r>
        <w:rPr>
          <w:bCs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</w:t>
      </w:r>
      <w:r>
        <w:rPr>
          <w:bCs/>
        </w:rPr>
        <w:t xml:space="preserve">исимой гарантии. </w:t>
      </w:r>
      <w:r>
        <w:rPr>
          <w:bCs/>
        </w:rPr>
      </w:r>
      <w:r>
        <w:rPr>
          <w:bCs/>
        </w:rPr>
      </w:r>
    </w:p>
    <w:p>
      <w:pPr>
        <w:ind w:firstLine="709"/>
        <w:spacing w:after="0"/>
        <w:widowControl w:val="off"/>
        <w:rPr>
          <w:rFonts w:eastAsia="Arial Unicode MS"/>
          <w:color w:val="000000"/>
        </w:rPr>
      </w:pPr>
      <w:r>
        <w:rPr>
          <w:bCs/>
        </w:rPr>
        <w:t xml:space="preserve">Письменное согласие Бенефициара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</w:t>
      </w:r>
      <w:r>
        <w:rPr>
          <w:bCs/>
        </w:rPr>
        <w:t xml:space="preserve">ления их в силу не определен в таких изменениях.</w:t>
      </w:r>
      <w:r>
        <w:rPr>
          <w:rFonts w:eastAsia="Arial Unicode MS"/>
          <w:color w:val="000000"/>
        </w:rPr>
      </w:r>
      <w:r>
        <w:rPr>
          <w:rFonts w:eastAsia="Arial Unicode MS"/>
          <w:color w:val="000000"/>
        </w:rPr>
      </w:r>
    </w:p>
    <w:p>
      <w:pPr>
        <w:ind w:firstLine="709"/>
        <w:spacing w:after="0"/>
        <w:widowControl w:val="off"/>
      </w:pPr>
      <w:r>
        <w:t xml:space="preserve"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</w:t>
      </w:r>
      <w:r>
        <w:t xml:space="preserve">едитных историй, без получения согласий Принципала на их представление в соответствии с требованиями ч. 3.1 и ч. 4 ст. 5 указанного Закона.</w:t>
      </w:r>
      <w:r/>
    </w:p>
    <w:p>
      <w:pPr>
        <w:ind w:firstLine="709"/>
        <w:spacing w:after="0"/>
        <w:widowControl w:val="off"/>
      </w:pPr>
      <w:r>
        <w:t xml:space="preserve">Действие настоящей независимой гарантии регулируется законодательством Российской Федерации. </w:t>
      </w:r>
      <w:r/>
    </w:p>
    <w:p>
      <w:pPr>
        <w:ind w:firstLine="709"/>
        <w:spacing w:after="0"/>
        <w:widowControl w:val="off"/>
      </w:pPr>
      <w:r>
        <w:t xml:space="preserve">Все споры, возникающие</w:t>
      </w:r>
      <w:r>
        <w:t xml:space="preserve"> в связи с действительностью, толкованием или исполнением настоящей независимой гарантии, подлежат рассмотрению в </w:t>
      </w:r>
      <w:r>
        <w:rPr>
          <w:rFonts w:eastAsia="Calibri"/>
          <w:lang w:eastAsia="en-US"/>
        </w:rPr>
        <w:t xml:space="preserve">Арбитражном суде </w:t>
      </w:r>
      <w:r>
        <w:rPr>
          <w:rFonts w:eastAsia="Arial Unicode MS"/>
          <w:lang w:eastAsia="en-US"/>
        </w:rPr>
        <w:t xml:space="preserve">_________ </w:t>
      </w:r>
      <w:r>
        <w:rPr>
          <w:rFonts w:eastAsia="Calibri"/>
          <w:i/>
          <w:lang w:eastAsia="en-US"/>
        </w:rPr>
        <w:t xml:space="preserve">(указывается арбитражный суд по месту нахождения бенефициара)</w:t>
      </w:r>
      <w:r>
        <w:rPr>
          <w:rFonts w:eastAsia="Arial Unicode MS"/>
          <w:lang w:eastAsia="en-US"/>
        </w:rPr>
        <w:t xml:space="preserve">.</w:t>
      </w:r>
      <w:r/>
    </w:p>
    <w:p>
      <w:pPr>
        <w:spacing w:after="0"/>
        <w:widowControl w:val="off"/>
        <w:tabs>
          <w:tab w:val="left" w:pos="1080" w:leader="none"/>
        </w:tabs>
      </w:pPr>
      <w:r/>
      <w:r/>
    </w:p>
    <w:p>
      <w:pPr>
        <w:spacing w:after="0"/>
        <w:widowControl w:val="off"/>
        <w:tabs>
          <w:tab w:val="left" w:pos="1080" w:leader="none"/>
        </w:tabs>
        <w:rPr>
          <w:sz w:val="28"/>
          <w:szCs w:val="28"/>
        </w:rPr>
      </w:pPr>
      <w:r>
        <w:t xml:space="preserve">Подписи уполномоченных лиц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after="0"/>
        <w:rPr>
          <w:sz w:val="28"/>
          <w:szCs w:val="28"/>
        </w:rPr>
      </w:pPr>
      <w:r>
        <w:rPr>
          <w:sz w:val="28"/>
          <w:szCs w:val="28"/>
        </w:rPr>
        <w:br w:type="page" w:clear="all"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0"/>
        <w:widowControl w:val="off"/>
        <w:rPr>
          <w:rFonts w:eastAsia="Calibri"/>
          <w:b/>
          <w:bCs/>
        </w:rPr>
      </w:pPr>
      <w:r>
        <w:rPr>
          <w:rFonts w:eastAsia="Calibri"/>
          <w:b/>
          <w:bCs/>
          <w:lang w:eastAsia="en-US"/>
        </w:rPr>
        <w:t xml:space="preserve">Типовая форма</w:t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jc w:val="center"/>
        <w:spacing w:after="0"/>
        <w:widowControl w:val="off"/>
        <w:rPr>
          <w:rFonts w:eastAsia="Calibri"/>
          <w:b/>
          <w:bCs/>
          <w:i/>
        </w:rPr>
      </w:pPr>
      <w:r>
        <w:rPr>
          <w:rFonts w:eastAsia="Calibri"/>
          <w:b/>
          <w:bCs/>
          <w:i/>
          <w:lang w:eastAsia="en-US"/>
        </w:rPr>
        <w:t xml:space="preserve">независимой гарантии на исполнение обязательств</w:t>
      </w:r>
      <w:r>
        <w:rPr>
          <w:rFonts w:eastAsia="Calibri"/>
          <w:b/>
          <w:bCs/>
          <w:i/>
        </w:rPr>
      </w:r>
      <w:r>
        <w:rPr>
          <w:rFonts w:eastAsia="Calibri"/>
          <w:b/>
          <w:bCs/>
          <w:i/>
        </w:rPr>
      </w:r>
    </w:p>
    <w:p>
      <w:pPr>
        <w:ind w:left="4962"/>
        <w:spacing w:after="0"/>
        <w:widowControl w:val="off"/>
        <w:rPr>
          <w:rFonts w:eastAsia="Calibri"/>
          <w:b/>
        </w:rPr>
      </w:pPr>
      <w:r>
        <w:rPr>
          <w:rFonts w:eastAsia="Calibri"/>
          <w:b/>
          <w:lang w:eastAsia="en-US"/>
        </w:rPr>
        <w:t xml:space="preserve">    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spacing w:after="0"/>
        <w:widowControl w:val="off"/>
        <w:rPr>
          <w:rFonts w:eastAsia="Calibri"/>
          <w:b/>
          <w:bCs/>
        </w:rPr>
      </w:pPr>
      <w:r>
        <w:rPr>
          <w:rFonts w:eastAsia="Calibri"/>
          <w:b/>
          <w:bCs/>
          <w:lang w:eastAsia="en-US"/>
        </w:rPr>
        <w:t xml:space="preserve">НЕЗАВИСИМАЯ ГАРАНТИЯ № ______</w:t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jc w:val="left"/>
        <w:spacing w:after="0"/>
        <w:widowControl w:val="off"/>
        <w:rPr>
          <w:rFonts w:eastAsia="Calibri"/>
          <w:b/>
          <w:bCs/>
        </w:rPr>
      </w:pP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spacing w:after="0"/>
        <w:widowControl w:val="off"/>
        <w:rPr>
          <w:rFonts w:eastAsia="Calibri"/>
        </w:rPr>
      </w:pPr>
      <w:r>
        <w:rPr>
          <w:rFonts w:eastAsia="Calibri"/>
          <w:lang w:eastAsia="en-US"/>
        </w:rPr>
        <w:t xml:space="preserve">г. ________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   «___»___________20__ г.</w:t>
      </w:r>
      <w:r>
        <w:rPr>
          <w:rFonts w:eastAsia="Calibri"/>
        </w:rPr>
      </w:r>
      <w:r>
        <w:rPr>
          <w:rFonts w:eastAsia="Calibri"/>
        </w:rPr>
      </w:r>
    </w:p>
    <w:p>
      <w:pPr>
        <w:jc w:val="center"/>
        <w:spacing w:after="0"/>
        <w:widowControl w:val="off"/>
        <w:rPr>
          <w:rFonts w:eastAsia="Calibri"/>
          <w:b/>
          <w:bCs/>
        </w:rPr>
      </w:pP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Calibri"/>
          <w:bCs/>
          <w:lang w:eastAsia="en-US"/>
        </w:rPr>
        <w:t xml:space="preserve"> _____________________ (</w:t>
      </w:r>
      <w:r>
        <w:rPr>
          <w:rFonts w:eastAsia="Calibri"/>
          <w:bCs/>
          <w:i/>
          <w:lang w:eastAsia="en-US"/>
        </w:rPr>
        <w:t xml:space="preserve">наименование гаранта, ОГРН и/или ИНН; реквизиты лицензии на осуществление банковских операций/иных документов, подтверждающих наличие у гаранта права на выдачу независимых гарантий</w:t>
      </w:r>
      <w:r>
        <w:rPr>
          <w:rFonts w:eastAsia="Calibri"/>
          <w:bCs/>
          <w:i/>
          <w:vertAlign w:val="superscript"/>
          <w:lang w:eastAsia="en-US"/>
        </w:rPr>
        <w:footnoteReference w:id="26"/>
      </w:r>
      <w:r>
        <w:rPr>
          <w:rFonts w:eastAsia="Calibri"/>
          <w:bCs/>
          <w:i/>
          <w:vertAlign w:val="superscript"/>
          <w:lang w:eastAsia="en-US"/>
        </w:rPr>
        <w:t xml:space="preserve">1</w:t>
      </w:r>
      <w:r>
        <w:rPr>
          <w:rFonts w:eastAsia="Calibri"/>
          <w:bCs/>
          <w:i/>
          <w:lang w:eastAsia="en-US"/>
        </w:rPr>
        <w:t xml:space="preserve">),</w:t>
      </w:r>
      <w:r>
        <w:rPr>
          <w:rFonts w:eastAsia="Calibri"/>
          <w:bCs/>
          <w:lang w:eastAsia="en-US"/>
        </w:rPr>
        <w:t xml:space="preserve"> именуемое в дальнейшем «Гарант», в лице _______________________________</w:t>
      </w:r>
      <w:r>
        <w:rPr>
          <w:rFonts w:eastAsia="Calibri"/>
          <w:bCs/>
          <w:lang w:eastAsia="en-US"/>
        </w:rPr>
        <w:t xml:space="preserve">______ (</w:t>
      </w:r>
      <w:r>
        <w:rPr>
          <w:rFonts w:eastAsia="Calibri"/>
          <w:bCs/>
          <w:i/>
          <w:lang w:eastAsia="en-US"/>
        </w:rPr>
        <w:t xml:space="preserve">Ф.И.О. уполномоченного действовать от имени гаранта лица),</w:t>
      </w:r>
      <w:r>
        <w:rPr>
          <w:rFonts w:eastAsia="Calibri"/>
          <w:bCs/>
          <w:lang w:eastAsia="en-US"/>
        </w:rPr>
        <w:t xml:space="preserve"> действующего на основании ______________________________</w:t>
      </w:r>
      <w:r>
        <w:rPr>
          <w:rFonts w:eastAsia="Calibri"/>
          <w:bCs/>
          <w:i/>
          <w:lang w:eastAsia="en-US"/>
        </w:rPr>
        <w:t xml:space="preserve">(дата, номер доверенности), </w:t>
      </w:r>
      <w:r>
        <w:rPr>
          <w:rFonts w:eastAsia="Arial Unicode MS"/>
          <w:lang w:eastAsia="en-US"/>
        </w:rPr>
        <w:t xml:space="preserve">настоящим принимает на себя безусловное и безотзывное обязательство уплатить </w:t>
      </w:r>
      <w:r>
        <w:rPr>
          <w:rFonts w:eastAsia="Calibri"/>
          <w:bCs/>
          <w:lang w:eastAsia="en-US"/>
        </w:rPr>
        <w:t xml:space="preserve">_____________________ (</w:t>
      </w:r>
      <w:r>
        <w:rPr>
          <w:rFonts w:eastAsia="Calibri"/>
          <w:bCs/>
          <w:i/>
          <w:lang w:eastAsia="en-US"/>
        </w:rPr>
        <w:t xml:space="preserve">наиме</w:t>
      </w:r>
      <w:r>
        <w:rPr>
          <w:rFonts w:eastAsia="Calibri"/>
          <w:bCs/>
          <w:i/>
          <w:lang w:eastAsia="en-US"/>
        </w:rPr>
        <w:t xml:space="preserve">нование бенефициара, </w:t>
      </w:r>
      <w:r>
        <w:rPr>
          <w:rFonts w:eastAsia="Arial Unicode MS"/>
          <w:i/>
          <w:lang w:eastAsia="en-US"/>
        </w:rPr>
        <w:t xml:space="preserve">ОГРН </w:t>
      </w:r>
      <w:r>
        <w:rPr>
          <w:rFonts w:eastAsia="Calibri"/>
          <w:bCs/>
          <w:i/>
          <w:lang w:eastAsia="en-US"/>
        </w:rPr>
        <w:t xml:space="preserve">и/или</w:t>
      </w:r>
      <w:r>
        <w:rPr>
          <w:rFonts w:eastAsia="Arial Unicode MS"/>
          <w:i/>
          <w:lang w:eastAsia="en-US"/>
        </w:rPr>
        <w:t xml:space="preserve"> ИНН)</w:t>
      </w:r>
      <w:r>
        <w:rPr>
          <w:rFonts w:eastAsia="Arial Unicode MS"/>
          <w:lang w:eastAsia="en-US"/>
        </w:rPr>
        <w:t xml:space="preserve">, именуемому в дальнейшем - «Бенефициар», любую сумму или суммы, не превышающие в итоге __________________ </w:t>
      </w:r>
      <w:r>
        <w:rPr>
          <w:rFonts w:eastAsia="Arial Unicode MS"/>
          <w:i/>
          <w:lang w:eastAsia="en-US"/>
        </w:rPr>
        <w:t xml:space="preserve">(сумма цифрами и прописью),</w:t>
      </w:r>
      <w:r>
        <w:rPr>
          <w:rFonts w:eastAsia="Arial Unicode MS"/>
          <w:lang w:eastAsia="en-US"/>
        </w:rPr>
        <w:t xml:space="preserve"> по получении письменного требования Бенефициара, указывающего, что __________________</w:t>
      </w:r>
      <w:r>
        <w:rPr>
          <w:rFonts w:eastAsia="Arial Unicode MS"/>
          <w:lang w:eastAsia="en-US"/>
        </w:rPr>
        <w:t xml:space="preserve">_ </w:t>
      </w:r>
      <w:r>
        <w:rPr>
          <w:rFonts w:eastAsia="Arial Unicode MS"/>
          <w:i/>
          <w:lang w:eastAsia="en-US"/>
        </w:rPr>
        <w:t xml:space="preserve">(наименование, ИНН </w:t>
      </w:r>
      <w:r>
        <w:rPr>
          <w:rFonts w:eastAsia="Calibri"/>
          <w:bCs/>
          <w:i/>
          <w:lang w:eastAsia="en-US"/>
        </w:rPr>
        <w:t xml:space="preserve">и/или</w:t>
      </w:r>
      <w:r>
        <w:rPr>
          <w:rFonts w:eastAsia="Arial Unicode MS"/>
          <w:i/>
          <w:lang w:eastAsia="en-US"/>
        </w:rPr>
        <w:t xml:space="preserve"> ОГРН)</w:t>
      </w:r>
      <w:r>
        <w:rPr>
          <w:rFonts w:eastAsia="Arial Unicode MS"/>
          <w:lang w:eastAsia="en-US"/>
        </w:rPr>
        <w:t xml:space="preserve">, именуемое в дальнейшем «Принципал» не исполнил и/или исполнил ненадлежащим образом любые свои обязательства перед Бенефициаром </w:t>
      </w:r>
      <w:r>
        <w:rPr>
          <w:rFonts w:eastAsia="Arial Unicode MS"/>
          <w:i/>
          <w:lang w:eastAsia="en-US"/>
        </w:rPr>
        <w:t xml:space="preserve">по договору, который будет заключен по результатам определения поставщика (подрядчика, исполнит</w:t>
      </w:r>
      <w:r>
        <w:rPr>
          <w:rFonts w:eastAsia="Arial Unicode MS"/>
          <w:i/>
          <w:lang w:eastAsia="en-US"/>
        </w:rPr>
        <w:t xml:space="preserve">еля) (номер извещения в единой информационной системе в сфере закупок _______, протокол подведения итогов закупочной процедуры от ___ (указывается дата подписания либо более поздняя из дат указанная в протоколе) №___ )*,</w:t>
      </w:r>
      <w:r>
        <w:rPr>
          <w:rFonts w:eastAsia="Arial Unicode MS"/>
          <w:lang w:eastAsia="en-US"/>
        </w:rPr>
        <w:t xml:space="preserve"> без споров и возражений со стороны </w:t>
      </w:r>
      <w:r>
        <w:rPr>
          <w:rFonts w:eastAsia="Arial Unicode MS"/>
          <w:lang w:eastAsia="en-US"/>
        </w:rPr>
        <w:t xml:space="preserve">Гаранта, не требуя от Бенефициара доказательств или обоснований требования на определенную в настоящей независимой гарантии сумму.</w:t>
      </w:r>
      <w:r>
        <w:rPr>
          <w:rFonts w:eastAsia="Arial Unicode MS"/>
          <w:i/>
        </w:rPr>
      </w:r>
      <w:r>
        <w:rPr>
          <w:rFonts w:eastAsia="Arial Unicode MS"/>
          <w:i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Arial Unicode MS"/>
          <w:i/>
          <w:lang w:eastAsia="en-US"/>
        </w:rPr>
        <w:t xml:space="preserve">*Примечание: </w:t>
      </w:r>
      <w:r>
        <w:rPr>
          <w:rFonts w:eastAsia="Arial Unicode MS"/>
          <w:i/>
        </w:rPr>
      </w:r>
      <w:r>
        <w:rPr>
          <w:rFonts w:eastAsia="Arial Unicode MS"/>
          <w:i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Arial Unicode MS"/>
          <w:i/>
          <w:lang w:eastAsia="en-US"/>
        </w:rPr>
        <w:t xml:space="preserve">- в случае заключения договора на основании решения (указать наименование закупочного органа бенефициара) текст</w:t>
      </w:r>
      <w:r>
        <w:rPr>
          <w:rFonts w:eastAsia="Arial Unicode MS"/>
          <w:i/>
          <w:lang w:eastAsia="en-US"/>
        </w:rPr>
        <w:t xml:space="preserve">, выделенный курсивом, излагается в следующей редакции: «по договору, который будет заключен по результатам определения поставщика (подрядчика, исполнителя) (выписка из протокола заседания (указать наименование закупочного органа бенефициара) от __</w:t>
      </w:r>
      <w:r>
        <w:rPr>
          <w:rFonts w:eastAsia="Arial Unicode MS"/>
          <w:i/>
          <w:lang w:eastAsia="en-US"/>
        </w:rPr>
        <w:br/>
        <w:t xml:space="preserve">№ ____)</w:t>
      </w:r>
      <w:r>
        <w:rPr>
          <w:rFonts w:eastAsia="Arial Unicode MS"/>
          <w:i/>
          <w:lang w:eastAsia="en-US"/>
        </w:rPr>
        <w:t xml:space="preserve">»;</w:t>
      </w:r>
      <w:r>
        <w:rPr>
          <w:rFonts w:eastAsia="Arial Unicode MS"/>
          <w:i/>
        </w:rPr>
      </w:r>
      <w:r>
        <w:rPr>
          <w:rFonts w:eastAsia="Arial Unicode MS"/>
          <w:i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Arial Unicode MS"/>
          <w:i/>
          <w:lang w:eastAsia="en-US"/>
        </w:rPr>
        <w:t xml:space="preserve">-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«по Договору________ (указывается номер, дата договора), именуемый в дальнейшем «Догов</w:t>
      </w:r>
      <w:r>
        <w:rPr>
          <w:rFonts w:eastAsia="Arial Unicode MS"/>
          <w:i/>
          <w:lang w:eastAsia="en-US"/>
        </w:rPr>
        <w:t xml:space="preserve">ор».</w:t>
      </w:r>
      <w:r>
        <w:rPr>
          <w:rFonts w:eastAsia="Arial Unicode MS"/>
          <w:i/>
        </w:rPr>
      </w:r>
      <w:r>
        <w:rPr>
          <w:rFonts w:eastAsia="Arial Unicode MS"/>
          <w:i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Ответственность Гаранта за неисполнение требования по настоящей независимой гарантии не ограничивается суммой, на которую она выдана.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За неисполнение принятых обязательств по независимой гарантии Гарант несет ответственность, предусмотренную законодат</w:t>
      </w:r>
      <w:r>
        <w:rPr>
          <w:rFonts w:eastAsia="Arial Unicode MS"/>
          <w:lang w:eastAsia="en-US"/>
        </w:rPr>
        <w:t xml:space="preserve">ельством Российской Федерации.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</w:t>
      </w:r>
      <w:r>
        <w:rPr>
          <w:rFonts w:eastAsia="Arial Unicode MS"/>
          <w:lang w:eastAsia="en-US"/>
        </w:rPr>
        <w:t xml:space="preserve">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</w:t>
      </w:r>
      <w:r>
        <w:rPr>
          <w:rFonts w:eastAsia="Arial Unicode MS"/>
          <w:lang w:eastAsia="en-US"/>
        </w:rPr>
        <w:t xml:space="preserve">ды, возникающие в связи с перечислением денежных средств, несет Гарант.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Гарантия не может быть отозвана Гарантом. Передача права требования по настоящей гарантии не допускается.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Настоящая гарантия вступает в силу с _________20___года ** и действует по ____</w:t>
      </w:r>
      <w:r>
        <w:rPr>
          <w:rFonts w:eastAsia="Arial Unicode MS"/>
          <w:lang w:eastAsia="en-US"/>
        </w:rPr>
        <w:t xml:space="preserve">_____20___года (включительно). 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Письменное требование платежа должно быть направлено Гаранту до 24 часов 00 минут «__» _________ по адресу: _________________________________ посредством почтовой связи либо передано непосредственно по адресу: ______________</w:t>
      </w:r>
      <w:r>
        <w:rPr>
          <w:rFonts w:eastAsia="Arial Unicode MS"/>
          <w:lang w:eastAsia="en-US"/>
        </w:rPr>
        <w:t xml:space="preserve">_________. 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Arial Unicode MS"/>
          <w:i/>
          <w:lang w:eastAsia="en-US"/>
        </w:rPr>
        <w:t xml:space="preserve">**Примечание: в случае первоначального предоставления независимой гарантии по результатам закупки - указывается дата выдачи независимой гарантии, в случае пролонгации независимой гарантии - указывается дата выдачи независимой гарантии либо дата</w:t>
      </w:r>
      <w:r>
        <w:rPr>
          <w:rFonts w:eastAsia="Arial Unicode MS"/>
          <w:i/>
          <w:lang w:eastAsia="en-US"/>
        </w:rPr>
        <w:t xml:space="preserve">, следующая за датой окончания предыдущей независимой гарантии.</w:t>
      </w:r>
      <w:r>
        <w:rPr>
          <w:rFonts w:eastAsia="Arial Unicode MS"/>
          <w:i/>
        </w:rPr>
      </w:r>
      <w:r>
        <w:rPr>
          <w:rFonts w:eastAsia="Arial Unicode MS"/>
          <w:i/>
        </w:rPr>
      </w:r>
    </w:p>
    <w:p>
      <w:pPr>
        <w:ind w:firstLine="709"/>
        <w:spacing w:after="0"/>
        <w:widowControl w:val="off"/>
        <w:rPr>
          <w:rFonts w:eastAsia="Calibri"/>
          <w:bCs/>
        </w:rPr>
      </w:pPr>
      <w:r>
        <w:rPr>
          <w:rFonts w:eastAsia="Calibri"/>
          <w:bCs/>
          <w:lang w:eastAsia="en-US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</w:t>
      </w:r>
      <w:r>
        <w:rPr>
          <w:rFonts w:eastAsia="Calibri"/>
          <w:bCs/>
          <w:lang w:eastAsia="en-US"/>
        </w:rPr>
        <w:t xml:space="preserve">мой гарантии. </w:t>
      </w:r>
      <w:r>
        <w:rPr>
          <w:rFonts w:eastAsia="Calibri"/>
          <w:bCs/>
        </w:rPr>
      </w:r>
      <w:r>
        <w:rPr>
          <w:rFonts w:eastAsia="Calibri"/>
          <w:bCs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Calibri"/>
          <w:bCs/>
          <w:lang w:eastAsia="en-US"/>
        </w:rPr>
        <w:t xml:space="preserve">Письменное согласие Бенефициара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</w:t>
      </w:r>
      <w:r>
        <w:rPr>
          <w:rFonts w:eastAsia="Calibri"/>
          <w:bCs/>
          <w:lang w:eastAsia="en-US"/>
        </w:rPr>
        <w:t xml:space="preserve">ия их в силу не определен в таких изменениях.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</w:t>
      </w:r>
      <w:r>
        <w:rPr>
          <w:rFonts w:eastAsia="Arial Unicode MS"/>
          <w:lang w:eastAsia="en-US"/>
        </w:rPr>
        <w:t xml:space="preserve">тных историй, без получения согласия Принципала на их представление, в соответствии с требованиями ч. 3.1 и ч. 4 ст. 5 указанного Закона.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Calibri"/>
        </w:rPr>
      </w:pPr>
      <w:r>
        <w:rPr>
          <w:rFonts w:eastAsia="Calibri"/>
          <w:lang w:eastAsia="en-US"/>
        </w:rPr>
        <w:t xml:space="preserve">Действие настоящей независимой гарантии регулируется законодательством Российской Федерации. </w:t>
      </w:r>
      <w:r>
        <w:rPr>
          <w:rFonts w:eastAsia="Calibri"/>
        </w:rPr>
      </w:r>
      <w:r>
        <w:rPr>
          <w:rFonts w:eastAsia="Calibri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Calibri"/>
          <w:lang w:eastAsia="en-US"/>
        </w:rPr>
        <w:t xml:space="preserve">Все споры, возникающие в</w:t>
      </w:r>
      <w:r>
        <w:rPr>
          <w:rFonts w:eastAsia="Calibri"/>
          <w:lang w:eastAsia="en-US"/>
        </w:rPr>
        <w:t xml:space="preserve"> связи с действительностью, толкованием или исполнением настоящей независимой гарантии, подлежат рассмотрению в Арбитражном суде _________ (указывается арбитражный суд по месту нахождения бенефициара).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ind w:firstLine="709"/>
        <w:spacing w:after="0"/>
        <w:widowControl w:val="off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lang w:eastAsia="en-US"/>
        </w:rPr>
        <w:t xml:space="preserve">Подписи</w:t>
      </w:r>
      <w:r>
        <w:rPr>
          <w:rFonts w:eastAsia="Calibri"/>
          <w:bCs/>
          <w:lang w:eastAsia="en-US"/>
        </w:rPr>
        <w:t xml:space="preserve"> </w:t>
      </w:r>
      <w:r>
        <w:rPr>
          <w:rFonts w:eastAsia="Calibri"/>
          <w:lang w:eastAsia="en-US"/>
        </w:rPr>
        <w:t xml:space="preserve">уполномоченных</w:t>
      </w:r>
      <w:r>
        <w:rPr>
          <w:rFonts w:eastAsia="Calibri"/>
          <w:bCs/>
          <w:lang w:eastAsia="en-US"/>
        </w:rPr>
        <w:t xml:space="preserve"> лиц</w:t>
      </w:r>
      <w:r>
        <w:rPr>
          <w:rFonts w:eastAsia="Calibri"/>
          <w:bCs/>
          <w:sz w:val="28"/>
          <w:szCs w:val="28"/>
          <w:lang w:eastAsia="en-US"/>
        </w:rPr>
      </w:r>
      <w:r>
        <w:rPr>
          <w:rFonts w:eastAsia="Calibri"/>
          <w:bCs/>
          <w:sz w:val="28"/>
          <w:szCs w:val="28"/>
          <w:lang w:eastAsia="en-US"/>
        </w:rPr>
      </w:r>
    </w:p>
    <w:p>
      <w:pPr>
        <w:jc w:val="left"/>
        <w:spacing w:after="160" w:line="259" w:lineRule="auto"/>
        <w:rPr>
          <w:b/>
          <w:bCs/>
          <w:vertAlign w:val="superscript"/>
        </w:rPr>
      </w:pPr>
      <w:r>
        <w:rPr>
          <w:b/>
          <w:bCs/>
          <w:vertAlign w:val="superscript"/>
        </w:rPr>
        <w:br w:type="page" w:clear="all"/>
      </w:r>
      <w:r>
        <w:rPr>
          <w:b/>
          <w:bCs/>
          <w:vertAlign w:val="superscript"/>
        </w:rPr>
      </w:r>
      <w:r>
        <w:rPr>
          <w:b/>
          <w:bCs/>
          <w:vertAlign w:val="superscript"/>
        </w:rPr>
      </w:r>
    </w:p>
    <w:p>
      <w:pPr>
        <w:jc w:val="left"/>
        <w:spacing w:after="0"/>
        <w:widowControl w:val="off"/>
        <w:rPr>
          <w:b/>
          <w:bCs/>
        </w:rPr>
      </w:pPr>
      <w:r>
        <w:rPr>
          <w:b/>
          <w:bCs/>
          <w:vertAlign w:val="superscript"/>
        </w:rPr>
        <w:footnoteReference w:id="27"/>
      </w:r>
      <w:r>
        <w:rPr>
          <w:b/>
          <w:bCs/>
          <w:vertAlign w:val="superscript"/>
        </w:rPr>
        <w:t xml:space="preserve">*****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Акт приема-передачи </w:t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независимой(ых) гарантии(й)/</w:t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изменения №__ к независимой гарантии от </w:t>
      </w:r>
      <w:r>
        <w:rPr>
          <w:rFonts w:eastAsia="Calibri"/>
          <w:i/>
          <w:u w:val="single"/>
          <w:lang w:eastAsia="en-US"/>
        </w:rPr>
        <w:t xml:space="preserve">дата</w:t>
      </w:r>
      <w:r>
        <w:rPr>
          <w:rFonts w:eastAsia="Calibri"/>
          <w:lang w:eastAsia="en-US"/>
        </w:rPr>
        <w:t xml:space="preserve"> №___</w:t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left"/>
        <w:spacing w:after="24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г. Калининград                                                                                 «__» _____________202__ г.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bCs/>
          <w:i/>
          <w:u w:val="single"/>
          <w:lang w:eastAsia="en-US"/>
        </w:rPr>
        <w:t xml:space="preserve">Наименование контрагента</w:t>
      </w:r>
      <w:r>
        <w:rPr>
          <w:rFonts w:eastAsia="Calibri"/>
          <w:bCs/>
          <w:lang w:eastAsia="en-US"/>
        </w:rPr>
        <w:t xml:space="preserve">,</w:t>
      </w:r>
      <w:r>
        <w:rPr>
          <w:rFonts w:eastAsia="Calibri"/>
          <w:lang w:eastAsia="en-US"/>
        </w:rPr>
        <w:t xml:space="preserve"> именуе</w:t>
      </w:r>
      <w:r>
        <w:rPr>
          <w:rFonts w:eastAsia="Calibri"/>
          <w:lang w:eastAsia="en-US"/>
        </w:rPr>
        <w:t xml:space="preserve">мое в дальнейшем Поставщик/Исполнитель (указать в соответствии с наименованием в договоре), в лице </w:t>
      </w:r>
      <w:r>
        <w:rPr>
          <w:rFonts w:eastAsia="Calibri"/>
          <w:i/>
          <w:u w:val="single"/>
          <w:lang w:eastAsia="en-US"/>
        </w:rPr>
        <w:t xml:space="preserve">наименование должности ФИО</w:t>
      </w:r>
      <w:r>
        <w:rPr>
          <w:rFonts w:eastAsia="Calibri"/>
          <w:lang w:eastAsia="en-US"/>
        </w:rPr>
        <w:t xml:space="preserve">, действующего на основании Устава/Доверенности от </w:t>
      </w:r>
      <w:r>
        <w:rPr>
          <w:rFonts w:eastAsia="Calibri"/>
          <w:i/>
          <w:u w:val="single"/>
          <w:lang w:eastAsia="en-US"/>
        </w:rPr>
        <w:t xml:space="preserve">дата</w:t>
      </w:r>
      <w:r>
        <w:rPr>
          <w:rFonts w:eastAsia="Calibri"/>
          <w:lang w:eastAsia="en-US"/>
        </w:rPr>
        <w:t xml:space="preserve"> №___, с одной стороны, и Акционерное общество «Россети Янтарь» (АО «Россети Янтарь»), именуемое в дальнейшем Покупатель/Заказчик (указать в соответствии с наименованием в договоре), в лице </w:t>
      </w:r>
      <w:r>
        <w:rPr>
          <w:rFonts w:eastAsia="Calibri"/>
          <w:i/>
          <w:u w:val="single"/>
          <w:lang w:eastAsia="en-US"/>
        </w:rPr>
        <w:t xml:space="preserve">наименование должности ФИО</w:t>
      </w:r>
      <w:r>
        <w:rPr>
          <w:rFonts w:eastAsia="Calibri"/>
          <w:lang w:eastAsia="en-US"/>
        </w:rPr>
        <w:t xml:space="preserve">, действующего на основании доверенности</w:t>
      </w:r>
      <w:r>
        <w:rPr>
          <w:rFonts w:eastAsia="Calibri"/>
          <w:lang w:eastAsia="en-US"/>
        </w:rPr>
        <w:t xml:space="preserve"> от </w:t>
      </w:r>
      <w:r>
        <w:rPr>
          <w:rFonts w:eastAsia="Calibri"/>
          <w:i/>
          <w:u w:val="single"/>
          <w:lang w:eastAsia="en-US"/>
        </w:rPr>
        <w:t xml:space="preserve">дата</w:t>
      </w:r>
      <w:r>
        <w:rPr>
          <w:rFonts w:eastAsia="Calibri"/>
          <w:lang w:eastAsia="en-US"/>
        </w:rPr>
        <w:t xml:space="preserve"> №___, с другой стороны, совместно здесь и далее именуемые «Стороны», заключили настоящий Акт приема-передачи независимой(ых) гарантии(й)/изменения №__ к независимой гарантии о нижеследующем: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Поставщик/Исполнитель </w:t>
      </w:r>
      <w:r>
        <w:rPr>
          <w:rFonts w:eastAsia="Calibri"/>
          <w:bCs/>
          <w:i/>
          <w:lang w:eastAsia="en-US"/>
        </w:rPr>
        <w:t xml:space="preserve">(выбрать)</w:t>
      </w:r>
      <w:r>
        <w:rPr>
          <w:rFonts w:eastAsia="Calibri"/>
          <w:lang w:eastAsia="en-US"/>
        </w:rPr>
        <w:t xml:space="preserve"> передает, а Покупатель/</w:t>
      </w:r>
      <w:r>
        <w:rPr>
          <w:rFonts w:eastAsia="Calibri"/>
          <w:lang w:eastAsia="en-US"/>
        </w:rPr>
        <w:t xml:space="preserve">Заказчик </w:t>
      </w:r>
      <w:r>
        <w:rPr>
          <w:rFonts w:eastAsia="Calibri"/>
          <w:i/>
          <w:lang w:eastAsia="en-US"/>
        </w:rPr>
        <w:t xml:space="preserve">(выбрать)</w:t>
      </w:r>
      <w:r>
        <w:rPr>
          <w:rFonts w:eastAsia="Calibri"/>
          <w:lang w:eastAsia="en-US"/>
        </w:rPr>
        <w:t xml:space="preserve"> принимает на основании Договора №____ от ____ независимую(ые) гарантию(и)/изменение №__ к независимой гарантии со следующими параметрами: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Style w:val="1496"/>
        <w:tblW w:w="1071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1559"/>
        <w:gridCol w:w="1530"/>
        <w:gridCol w:w="1134"/>
        <w:gridCol w:w="850"/>
        <w:gridCol w:w="1134"/>
        <w:gridCol w:w="1559"/>
        <w:gridCol w:w="1242"/>
      </w:tblGrid>
      <w:tr>
        <w:tblPrEx/>
        <w:trPr>
          <w:trHeight w:val="2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№ п/п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Номер и дата гарантии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Номер и дата изменения к гарантии (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данный блок добавляется только в сл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учае приема-передачи изменения к гарантии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)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3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Наименование гаранта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Сумма гарантии, руб.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gridSpan w:val="2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Срок действия гарантии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Вид гарантии 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(возврат аванса/ исполнение обязательств по договору/ гарантийные обязательства и т.д.) 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выбрать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242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Номер и дата договора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/>
        <w:trPr>
          <w:trHeight w:val="1857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135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530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Дата начала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Дата окончания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242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3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5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24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5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24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</w:tbl>
    <w:p>
      <w:pPr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Датой передачи независимой(ых) гарантии(й)/изменения №__ к независимой гарантии является дата подписания настоящего Акта приема-передачи независимой(ых) гарантии(й)/изменения №__ к независимой гарантии.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Настоящий Акт приема-передачи составлен в двух подлинных экземплярах, имеющих одинаковую юридическую силу, по одному для каждой из сторон.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Style w:val="1496"/>
        <w:tblW w:w="1006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5387"/>
        <w:gridCol w:w="4673"/>
      </w:tblGrid>
      <w:tr>
        <w:tblPrEx/>
        <w:trPr/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Поставщик/Исполнитель</w:t>
            </w:r>
            <w:r>
              <w:rPr>
                <w:rFonts w:eastAsia="Calibri"/>
                <w:bCs/>
                <w:lang w:eastAsia="en-US"/>
              </w:rPr>
              <w:t xml:space="preserve"> (</w:t>
            </w:r>
            <w:r>
              <w:rPr>
                <w:rFonts w:eastAsia="Calibri"/>
                <w:bCs/>
                <w:i/>
                <w:lang w:eastAsia="en-US"/>
              </w:rPr>
              <w:t xml:space="preserve">выбрать</w:t>
            </w:r>
            <w:r>
              <w:rPr>
                <w:rFonts w:eastAsia="Calibri"/>
                <w:bCs/>
                <w:lang w:eastAsia="en-US"/>
              </w:rPr>
              <w:t xml:space="preserve">):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Наименование Поставщика/Исполнителя</w:t>
            </w:r>
            <w:r>
              <w:rPr>
                <w:rFonts w:eastAsia="Calibri"/>
                <w:bCs/>
                <w:i/>
                <w:lang w:eastAsia="en-US"/>
              </w:rPr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Покупатель/Заказчик </w:t>
            </w:r>
            <w:r>
              <w:rPr>
                <w:rFonts w:eastAsia="Calibri"/>
                <w:bCs/>
                <w:lang w:eastAsia="en-US"/>
              </w:rPr>
              <w:t xml:space="preserve">(</w:t>
            </w:r>
            <w:r>
              <w:rPr>
                <w:rFonts w:eastAsia="Calibri"/>
                <w:bCs/>
                <w:i/>
                <w:lang w:eastAsia="en-US"/>
              </w:rPr>
              <w:t xml:space="preserve">выбрать</w:t>
            </w:r>
            <w:r>
              <w:rPr>
                <w:rFonts w:eastAsia="Calibri"/>
                <w:bCs/>
                <w:lang w:eastAsia="en-US"/>
              </w:rPr>
              <w:t xml:space="preserve">):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АО «Россети Янтарь»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</w:tc>
      </w:tr>
      <w:tr>
        <w:tblPrEx/>
        <w:trPr/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</w:tr>
      <w:tr>
        <w:tblPrEx/>
        <w:trPr/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Наименование должности</w:t>
            </w:r>
            <w:r>
              <w:rPr>
                <w:rFonts w:eastAsia="Calibri"/>
                <w:bCs/>
                <w:i/>
                <w:lang w:eastAsia="en-US"/>
              </w:rPr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Наименование должности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</w:tr>
      <w:tr>
        <w:tblPrEx/>
        <w:trPr>
          <w:trHeight w:val="655"/>
        </w:trPr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___________________              ФИО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    </w:t>
            </w:r>
            <w:r>
              <w:rPr>
                <w:rFonts w:eastAsia="Calibri"/>
                <w:bCs/>
                <w:i/>
                <w:lang w:eastAsia="en-US"/>
              </w:rPr>
              <w:t xml:space="preserve">подпись</w:t>
            </w:r>
            <w:r>
              <w:rPr>
                <w:rFonts w:eastAsia="Calibri"/>
                <w:bCs/>
                <w:i/>
                <w:lang w:eastAsia="en-US"/>
              </w:rPr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___________________              ФИО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    </w:t>
            </w:r>
            <w:r>
              <w:rPr>
                <w:rFonts w:eastAsia="Calibri"/>
                <w:bCs/>
                <w:i/>
                <w:lang w:eastAsia="en-US"/>
              </w:rPr>
              <w:t xml:space="preserve">подпись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i/>
                <w:lang w:eastAsia="en-US"/>
              </w:rPr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</w:tr>
    </w:tbl>
    <w:p>
      <w:pPr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МП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     МП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/>
      </w:pPr>
      <w:r>
        <w:separator/>
      </w:r>
      <w:r/>
    </w:p>
  </w:endnote>
  <w:endnote w:type="continuationSeparator" w:id="0">
    <w:p>
      <w:pPr>
        <w:spacing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Arial (WT)">
    <w:panose1 w:val="020B0604020202020204"/>
  </w:font>
  <w:font w:name="Wingdings">
    <w:panose1 w:val="05010000000000000000"/>
  </w:font>
  <w:font w:name="Symbol">
    <w:panose1 w:val="05010000000000000000"/>
  </w:font>
  <w:font w:name="Proxima Nova ExCn Rg">
    <w:panose1 w:val="02000603000000000000"/>
  </w:font>
  <w:font w:name="MS Mincho">
    <w:panose1 w:val="02070609020205090404"/>
  </w:font>
  <w:font w:name="Courier New">
    <w:panose1 w:val="02070309020205020404"/>
  </w:font>
  <w:font w:name="Cambria">
    <w:panose1 w:val="020405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51"/>
      <w:jc w:val="right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1</w:t>
    </w:r>
    <w:r>
      <w:fldChar w:fldCharType="end"/>
    </w:r>
    <w:r/>
  </w:p>
  <w:p>
    <w:pPr>
      <w:pStyle w:val="1351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51"/>
      <w:jc w:val="right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1</w:t>
    </w:r>
    <w:r>
      <w:fldChar w:fldCharType="end"/>
    </w:r>
    <w:r/>
  </w:p>
  <w:p>
    <w:pPr>
      <w:pStyle w:val="135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/>
      </w:pPr>
      <w:r>
        <w:separator/>
      </w:r>
      <w:r/>
    </w:p>
  </w:footnote>
  <w:footnote w:type="continuationSeparator" w:id="0">
    <w:p>
      <w:pPr>
        <w:spacing w:after="0"/>
      </w:pPr>
      <w:r>
        <w:continuationSeparator/>
      </w:r>
      <w:r/>
    </w:p>
  </w:footnote>
  <w:footnote w:id="2">
    <w:p>
      <w:pPr>
        <w:pStyle w:val="1348"/>
        <w:spacing w:after="0"/>
      </w:pPr>
      <w:r>
        <w:rPr>
          <w:rStyle w:val="1503"/>
          <w:sz w:val="28"/>
          <w:szCs w:val="28"/>
          <w:vertAlign w:val="superscript"/>
        </w:rPr>
        <w:t xml:space="preserve">1</w:t>
      </w:r>
      <w:r>
        <w:rPr>
          <w:rStyle w:val="1504"/>
        </w:rPr>
        <w:t xml:space="preserve"> Данные о наличии лицензии могут быть проверены на официальном сайте Банка России по адресу </w:t>
      </w:r>
      <w:hyperlink r:id="rId1" w:tooltip="http://www.cbr.ru/credit/." w:history="1">
        <w:r>
          <w:rPr>
            <w:rStyle w:val="1364"/>
          </w:rPr>
          <w:t xml:space="preserve">http://www.cbr.ru/credit/.</w:t>
        </w:r>
      </w:hyperlink>
      <w:r>
        <w:rPr>
          <w:rStyle w:val="1504"/>
        </w:rPr>
        <w:t xml:space="preserve"> </w:t>
      </w:r>
      <w:r/>
    </w:p>
  </w:footnote>
  <w:footnote w:id="3">
    <w:p>
      <w:pPr>
        <w:pStyle w:val="1348"/>
        <w:spacing w:after="0"/>
      </w:pPr>
      <w:r>
        <w:rPr>
          <w:rStyle w:val="1503"/>
          <w:sz w:val="28"/>
          <w:szCs w:val="28"/>
          <w:vertAlign w:val="superscript"/>
        </w:rPr>
        <w:t xml:space="preserve">2</w:t>
      </w:r>
      <w:r>
        <w:rPr>
          <w:rStyle w:val="1504"/>
        </w:rPr>
        <w:t xml:space="preserve"> В частности, запрет или ограничение на прием вкладов от физ</w:t>
      </w:r>
      <w:r>
        <w:rPr>
          <w:rStyle w:val="1504"/>
        </w:rPr>
        <w:t xml:space="preserve">ических лиц, если такая информация опубликована в официальных источниках и/или на официальном сайте Банка России по адресу </w:t>
      </w:r>
      <w:hyperlink r:id="rId2" w:tooltip="https://www.cbr.ru/analytics/strform/." w:history="1">
        <w:r>
          <w:rPr>
            <w:rStyle w:val="1364"/>
          </w:rPr>
          <w:t xml:space="preserve">https://www.cbr.ru/analytics/strfo</w:t>
        </w:r>
        <w:r>
          <w:rPr>
            <w:rStyle w:val="1364"/>
          </w:rPr>
          <w:t xml:space="preserve">rm/.</w:t>
        </w:r>
      </w:hyperlink>
      <w:r>
        <w:rPr>
          <w:rStyle w:val="1504"/>
        </w:rPr>
        <w:t xml:space="preserve"> </w:t>
      </w:r>
      <w:r/>
    </w:p>
  </w:footnote>
  <w:footnote w:id="4">
    <w:p>
      <w:pPr>
        <w:spacing w:after="0"/>
        <w:rPr>
          <w:sz w:val="20"/>
          <w:szCs w:val="20"/>
        </w:rPr>
        <w:outlineLvl w:val="0"/>
      </w:pPr>
      <w:r>
        <w:rPr>
          <w:sz w:val="28"/>
          <w:szCs w:val="28"/>
          <w:vertAlign w:val="superscript"/>
        </w:rPr>
        <w:t xml:space="preserve">3</w:t>
      </w:r>
      <w:r>
        <w:t xml:space="preserve"> </w:t>
      </w:r>
      <w:r>
        <w:rPr>
          <w:sz w:val="20"/>
          <w:szCs w:val="20"/>
        </w:rPr>
        <w:t xml:space="preserve">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48"/>
        <w:spacing w:after="0"/>
      </w:pPr>
      <w:r>
        <w:t xml:space="preserve">Данн</w:t>
      </w:r>
      <w:r>
        <w:t xml:space="preserve">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3" w:tooltip="http://www.asv.org.ru/guide/bank/" w:history="1">
        <w:r>
          <w:rPr>
            <w:rStyle w:val="1364"/>
          </w:rPr>
          <w:t xml:space="preserve">ht</w:t>
        </w:r>
        <w:r>
          <w:rPr>
            <w:rStyle w:val="1364"/>
          </w:rPr>
          <w:t xml:space="preserve">tp://www.asv.org.ru/guide/bank/</w:t>
        </w:r>
      </w:hyperlink>
      <w:r>
        <w:t xml:space="preserve"> или Банка России по адресу </w:t>
      </w:r>
      <w:hyperlink r:id="rId4" w:tooltip="http://www.cbr.ru/credit/." w:history="1">
        <w:r>
          <w:rPr>
            <w:rStyle w:val="1364"/>
          </w:rPr>
          <w:t xml:space="preserve">http://www.cbr.ru/credit/.</w:t>
        </w:r>
      </w:hyperlink>
      <w:r>
        <w:t xml:space="preserve"> </w:t>
      </w:r>
      <w:r/>
    </w:p>
  </w:footnote>
  <w:footnote w:id="5">
    <w:p>
      <w:pPr>
        <w:pStyle w:val="1348"/>
        <w:spacing w:after="0"/>
      </w:pPr>
      <w:r>
        <w:rPr>
          <w:u w:val="single"/>
          <w:vertAlign w:val="superscript"/>
        </w:rPr>
        <w:t xml:space="preserve">4</w:t>
      </w:r>
      <w:r>
        <w:t xml:space="preserve"> Указанные критерии не применяется в отношении независимых гарантий, предоставляемых по резул</w:t>
      </w:r>
      <w:r>
        <w:t xml:space="preserve">ьтатам конкурентной закупки с участием субъектов малого и среднего предпринимательства (в соответствии с абз. 2 п. 3.8.1 Порядка).</w:t>
      </w:r>
      <w:r/>
    </w:p>
  </w:footnote>
  <w:footnote w:id="6">
    <w:p>
      <w:pPr>
        <w:pStyle w:val="1348"/>
        <w:spacing w:after="0"/>
      </w:pPr>
      <w:r>
        <w:rPr>
          <w:rStyle w:val="1347"/>
        </w:rPr>
        <w:t xml:space="preserve">5</w:t>
      </w:r>
      <w:r>
        <w:t xml:space="preserve"> Для банков с долей Российской Федерации либо Банка России в уставном капитале более 50% (за исключением удовлетворяющих тре</w:t>
      </w:r>
      <w:r>
        <w:t xml:space="preserve">бованиям п. 3.8.3 настоящего Порядка), а также банков, в отношении которых Банком России принято решение о гарантировании непрерывности деятельности, ограничения по размеру собственного капитала банка и ограничения по вхождению в перечень банков, соответст</w:t>
      </w:r>
      <w:r>
        <w:t xml:space="preserve">вующих требованиям ст. 2 Федерального закона от 21.07.2014 № 213-ФЗ - не применяются.</w:t>
      </w:r>
      <w:r/>
    </w:p>
  </w:footnote>
  <w:footnote w:id="7">
    <w:p>
      <w:pPr>
        <w:pStyle w:val="1348"/>
        <w:spacing w:after="0"/>
      </w:pPr>
      <w:r>
        <w:rPr>
          <w:rStyle w:val="1347"/>
        </w:rPr>
        <w:t xml:space="preserve">6</w:t>
      </w:r>
      <w:r>
        <w:t xml:space="preserve"> Собственный капитал банка для целей настоящего Распоряжения принимаются в соответствии с данными отчетности банка, в том числе, публикуемыми на официальном сайте Банка </w:t>
      </w:r>
      <w:r>
        <w:t xml:space="preserve">России по адресу </w:t>
      </w:r>
      <w:hyperlink r:id="rId5" w:tooltip="http://www.cbr.ru/credit/" w:history="1">
        <w:r>
          <w:rPr>
            <w:rStyle w:val="1364"/>
          </w:rPr>
          <w:t xml:space="preserve">http://www.cbr.ru/credit/</w:t>
        </w:r>
      </w:hyperlink>
      <w:r>
        <w:t xml:space="preserve"> по состоянию на дату, ближайшую к отчетной.</w:t>
      </w:r>
      <w:r/>
    </w:p>
  </w:footnote>
  <w:footnote w:id="8">
    <w:p>
      <w:pPr>
        <w:pStyle w:val="1348"/>
      </w:pPr>
      <w:r>
        <w:rPr>
          <w:rStyle w:val="1503"/>
          <w:vertAlign w:val="superscript"/>
        </w:rPr>
        <w:t xml:space="preserve">8</w:t>
      </w:r>
      <w:r>
        <w:rPr>
          <w:rStyle w:val="1504"/>
        </w:rPr>
        <w:t xml:space="preserve"> Включенными в реестр кредитных рейтинговых агентств Центрального банка России. Размещен на сай</w:t>
      </w:r>
      <w:r>
        <w:rPr>
          <w:rStyle w:val="1504"/>
        </w:rPr>
        <w:t xml:space="preserve">те ЦБ РФ. </w:t>
      </w:r>
      <w:r>
        <w:rPr>
          <w:rStyle w:val="1505"/>
        </w:rPr>
        <w:t xml:space="preserve">https://cbr.ru.</w:t>
      </w:r>
      <w:r/>
    </w:p>
  </w:footnote>
  <w:footnote w:id="9">
    <w:p>
      <w:pPr>
        <w:pStyle w:val="1348"/>
      </w:pPr>
      <w:r>
        <w:rPr>
          <w:rStyle w:val="1503"/>
          <w:vertAlign w:val="superscript"/>
        </w:rPr>
        <w:t xml:space="preserve">9</w:t>
      </w:r>
      <w:r>
        <w:rPr>
          <w:rStyle w:val="1504"/>
        </w:rPr>
        <w:t xml:space="preserve"> По состоянию на 01.01.2024 в реестр включены только рейтинговые агентства АКРА (АО), АО «Эксперт РА», ООО «НКР» и ООО «НРА».</w:t>
      </w:r>
      <w:r/>
    </w:p>
  </w:footnote>
  <w:footnote w:id="10">
    <w:p>
      <w:pPr>
        <w:pStyle w:val="1348"/>
        <w:spacing w:after="0"/>
      </w:pPr>
      <w:r>
        <w:rPr>
          <w:rStyle w:val="1503"/>
          <w:sz w:val="28"/>
          <w:szCs w:val="28"/>
          <w:vertAlign w:val="superscript"/>
        </w:rPr>
        <w:t xml:space="preserve">1</w:t>
      </w:r>
      <w:r>
        <w:rPr>
          <w:rStyle w:val="1504"/>
        </w:rPr>
        <w:t xml:space="preserve"> Данные о наличии лицензии могут быть проверены на официальном сайте Банка России по адресу </w:t>
      </w:r>
      <w:hyperlink r:id="rId6" w:tooltip="http://www.cbr.ru/credit/." w:history="1">
        <w:r>
          <w:rPr>
            <w:rStyle w:val="1364"/>
          </w:rPr>
          <w:t xml:space="preserve">http://www.cbr.ru/credit/.</w:t>
        </w:r>
      </w:hyperlink>
      <w:r>
        <w:rPr>
          <w:rStyle w:val="1504"/>
        </w:rPr>
        <w:t xml:space="preserve"> </w:t>
      </w:r>
      <w:r/>
    </w:p>
  </w:footnote>
  <w:footnote w:id="11">
    <w:p>
      <w:pPr>
        <w:pStyle w:val="1348"/>
        <w:spacing w:after="0"/>
      </w:pPr>
      <w:r>
        <w:rPr>
          <w:rStyle w:val="1503"/>
          <w:sz w:val="28"/>
          <w:szCs w:val="28"/>
          <w:vertAlign w:val="superscript"/>
        </w:rPr>
        <w:t xml:space="preserve">2</w:t>
      </w:r>
      <w:r>
        <w:rPr>
          <w:rStyle w:val="1504"/>
        </w:rPr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</w:t>
      </w:r>
      <w:r>
        <w:rPr>
          <w:rStyle w:val="1504"/>
        </w:rPr>
        <w:t xml:space="preserve">нка России по адресу </w:t>
      </w:r>
      <w:hyperlink r:id="rId7" w:tooltip="https://www.cbr.ru/analytics/strform/." w:history="1">
        <w:r>
          <w:rPr>
            <w:rStyle w:val="1364"/>
          </w:rPr>
          <w:t xml:space="preserve">https://www.cbr.ru/analytics/strform/.</w:t>
        </w:r>
      </w:hyperlink>
      <w:r>
        <w:rPr>
          <w:rStyle w:val="1504"/>
        </w:rPr>
        <w:t xml:space="preserve"> </w:t>
      </w:r>
      <w:r/>
    </w:p>
  </w:footnote>
  <w:footnote w:id="12">
    <w:p>
      <w:pPr>
        <w:spacing w:after="0"/>
        <w:rPr>
          <w:sz w:val="20"/>
          <w:szCs w:val="20"/>
        </w:rPr>
        <w:outlineLvl w:val="0"/>
      </w:pPr>
      <w:r>
        <w:rPr>
          <w:sz w:val="28"/>
          <w:szCs w:val="28"/>
          <w:vertAlign w:val="superscript"/>
        </w:rPr>
        <w:t xml:space="preserve">3</w:t>
      </w:r>
      <w:r>
        <w:t xml:space="preserve"> </w:t>
      </w:r>
      <w:r>
        <w:rPr>
          <w:sz w:val="20"/>
          <w:szCs w:val="20"/>
        </w:rPr>
        <w:t xml:space="preserve">Система страхования вкладов - система обязательного страхования вкладов физических лиц в банка</w:t>
      </w:r>
      <w:r>
        <w:rPr>
          <w:sz w:val="20"/>
          <w:szCs w:val="20"/>
        </w:rPr>
        <w:t xml:space="preserve">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48"/>
        <w:spacing w:after="0"/>
      </w:pPr>
      <w:r>
        <w:t xml:space="preserve">Данные об участии банка в Системе страхования вкладов могут быть проверены на официальных сайтах Государст</w:t>
      </w:r>
      <w:r>
        <w:t xml:space="preserve">венной корпорации «Агентство по страхованию вкладов» по адресу </w:t>
      </w:r>
      <w:hyperlink r:id="rId8" w:tooltip="http://www.asv.org.ru/guide/bank/" w:history="1">
        <w:r>
          <w:rPr>
            <w:rStyle w:val="1364"/>
          </w:rPr>
          <w:t xml:space="preserve">http://www.asv.org.ru/guide/bank/</w:t>
        </w:r>
      </w:hyperlink>
      <w:r>
        <w:t xml:space="preserve"> или Банка России по адресу </w:t>
      </w:r>
      <w:hyperlink r:id="rId9" w:tooltip="http://www.cbr.ru/credit/." w:history="1">
        <w:r>
          <w:rPr>
            <w:rStyle w:val="1364"/>
          </w:rPr>
          <w:t xml:space="preserve">http://www.cbr.ru/credit/.</w:t>
        </w:r>
      </w:hyperlink>
      <w:r>
        <w:t xml:space="preserve"> </w:t>
      </w:r>
      <w:r/>
    </w:p>
  </w:footnote>
  <w:footnote w:id="13">
    <w:p>
      <w:pPr>
        <w:pStyle w:val="1348"/>
        <w:spacing w:after="0"/>
      </w:pPr>
      <w:r>
        <w:rPr>
          <w:u w:val="single"/>
          <w:vertAlign w:val="superscript"/>
        </w:rPr>
        <w:t xml:space="preserve">4</w:t>
      </w:r>
      <w:r>
        <w:t xml:space="preserve"> Указанные критерии не применяется в отношении независимых гарантий, предоставляемых по результатам конкурентной закупки с участием субъектов малого и среднего предпринимательства (в соответствии</w:t>
      </w:r>
      <w:r>
        <w:t xml:space="preserve"> с абз. 2 п. 3.8.1 Порядка).</w:t>
      </w:r>
      <w:r/>
    </w:p>
  </w:footnote>
  <w:footnote w:id="14">
    <w:p>
      <w:pPr>
        <w:pStyle w:val="1348"/>
        <w:spacing w:after="0"/>
      </w:pPr>
      <w:r>
        <w:rPr>
          <w:rStyle w:val="1347"/>
        </w:rPr>
        <w:t xml:space="preserve">5</w:t>
      </w:r>
      <w:r>
        <w:t xml:space="preserve"> Для банков с долей Российской Федерации либо Банка России в уставном капитале более 50% (за исключением удовлетворяющих требованиям п. 3.8.3 настоящего Порядка), а также банков, в отношении которых Банком России принято решен</w:t>
      </w:r>
      <w:r>
        <w:t xml:space="preserve">ие о гарантировании непрерывности деятельности, ограничения по размеру собственного капитала банка и ограничения по вхождению в перечень банков, соответствующих требованиям ст. 2 Федерального закона от 21.07.2014 № 213-ФЗ - не применяются.</w:t>
      </w:r>
      <w:r/>
    </w:p>
  </w:footnote>
  <w:footnote w:id="15">
    <w:p>
      <w:pPr>
        <w:pStyle w:val="1348"/>
        <w:spacing w:after="0"/>
      </w:pPr>
      <w:r>
        <w:rPr>
          <w:rStyle w:val="1347"/>
        </w:rPr>
        <w:t xml:space="preserve">6</w:t>
      </w:r>
      <w:r>
        <w:t xml:space="preserve"> Собственный ка</w:t>
      </w:r>
      <w:r>
        <w:t xml:space="preserve">питал банка для целей настоящего Распоряжения принимаются в соответствии с данными отчетности банка, в том числе, публикуемыми на официальном сайте Банка России по адресу </w:t>
      </w:r>
      <w:hyperlink r:id="rId10" w:tooltip="http://www.cbr.ru/credit/" w:history="1">
        <w:r>
          <w:rPr>
            <w:rStyle w:val="1364"/>
          </w:rPr>
          <w:t xml:space="preserve">http://www.cbr.ru/credit/</w:t>
        </w:r>
      </w:hyperlink>
      <w:r>
        <w:t xml:space="preserve"> по состоянию на дату, ближайшую к отчетной.</w:t>
      </w:r>
      <w:r/>
    </w:p>
  </w:footnote>
  <w:footnote w:id="16">
    <w:p>
      <w:pPr>
        <w:pStyle w:val="1348"/>
        <w:spacing w:after="0"/>
      </w:pPr>
      <w:r>
        <w:rPr>
          <w:rStyle w:val="1503"/>
          <w:vertAlign w:val="superscript"/>
        </w:rPr>
        <w:t xml:space="preserve">8</w:t>
      </w:r>
      <w:r>
        <w:rPr>
          <w:rStyle w:val="1504"/>
        </w:rPr>
        <w:t xml:space="preserve"> Включенными в реестр кредитных рейтинговых агентств Центрального банка России. Размещен на сайте ЦБ РФ. </w:t>
      </w:r>
      <w:r>
        <w:rPr>
          <w:rStyle w:val="1505"/>
        </w:rPr>
        <w:t xml:space="preserve">https://cbr.ru.</w:t>
      </w:r>
      <w:r/>
    </w:p>
  </w:footnote>
  <w:footnote w:id="17">
    <w:p>
      <w:pPr>
        <w:pStyle w:val="1348"/>
        <w:spacing w:after="0"/>
      </w:pPr>
      <w:r>
        <w:rPr>
          <w:rStyle w:val="1503"/>
          <w:vertAlign w:val="superscript"/>
        </w:rPr>
        <w:t xml:space="preserve">9</w:t>
      </w:r>
      <w:r>
        <w:rPr>
          <w:rStyle w:val="1504"/>
        </w:rPr>
        <w:t xml:space="preserve"> По состоянию на 01.01.2024 в реестр включены только рейтинговые агентства АКРА (АО), АО «Эксперт РА», ООО «НКР» и ООО «НРА».</w:t>
      </w:r>
      <w:r/>
    </w:p>
  </w:footnote>
  <w:footnote w:id="18">
    <w:p>
      <w:pPr>
        <w:pStyle w:val="1348"/>
      </w:pPr>
      <w:r>
        <w:rPr>
          <w:rStyle w:val="1347"/>
        </w:rPr>
        <w:footnoteRef/>
      </w:r>
      <w:r>
        <w:rPr>
          <w:rFonts w:eastAsiaTheme="minorHAnsi"/>
          <w:lang w:eastAsia="en-US"/>
        </w:rPr>
        <w:t xml:space="preserve">Данный абзац следует исключить из текста заявки в случае подачи заявки физическим лицом, а также в случае, если участнику процеду</w:t>
      </w:r>
      <w:r>
        <w:rPr>
          <w:rFonts w:eastAsiaTheme="minorHAnsi"/>
          <w:lang w:eastAsia="en-US"/>
        </w:rPr>
        <w:t xml:space="preserve">ры закупки требуется получение указанного решения. </w:t>
      </w:r>
      <w:r>
        <w:rPr>
          <w:rFonts w:eastAsiaTheme="minorHAnsi"/>
          <w:shd w:val="clear" w:color="auto" w:fill="b4c6e7" w:themeFill="accent5" w:themeFillTint="66"/>
          <w:lang w:eastAsia="en-US"/>
        </w:rPr>
        <w:t xml:space="preserve">ВНИМАНИЕ! В последнем случае копия такого решения предоставляется при заключении договора</w:t>
      </w:r>
      <w:r>
        <w:rPr>
          <w:rFonts w:eastAsiaTheme="minorHAnsi"/>
          <w:lang w:eastAsia="en-US"/>
        </w:rPr>
        <w:t xml:space="preserve">.</w:t>
      </w:r>
      <w:r/>
    </w:p>
  </w:footnote>
  <w:footnote w:id="19">
    <w:p>
      <w:pPr>
        <w:pStyle w:val="1348"/>
      </w:pPr>
      <w:r>
        <w:rPr>
          <w:rStyle w:val="1347"/>
        </w:rPr>
        <w:footnoteRef/>
      </w:r>
      <w:r>
        <w:rPr>
          <w:rFonts w:eastAsiaTheme="minorHAnsi"/>
          <w:lang w:eastAsia="en-US"/>
        </w:rPr>
        <w:t xml:space="preserve">Данный абзац следует исключить из текста заявки в случае подачи заявки физическим лицом, а также в случае, если у</w:t>
      </w:r>
      <w:r>
        <w:rPr>
          <w:rFonts w:eastAsiaTheme="minorHAnsi"/>
          <w:lang w:eastAsia="en-US"/>
        </w:rPr>
        <w:t xml:space="preserve">частнику процедуры закупки требуется получение указанного решения. </w:t>
      </w:r>
      <w:r>
        <w:rPr>
          <w:rFonts w:eastAsiaTheme="minorHAnsi"/>
          <w:shd w:val="clear" w:color="auto" w:fill="b4c6e7" w:themeFill="accent5" w:themeFillTint="66"/>
          <w:lang w:eastAsia="en-US"/>
        </w:rPr>
        <w:t xml:space="preserve">ВНИМАНИЕ! В последнем случае копия такого решения предоставляется при заключении договора</w:t>
      </w:r>
      <w:r>
        <w:rPr>
          <w:rFonts w:eastAsiaTheme="minorHAnsi"/>
          <w:lang w:eastAsia="en-US"/>
        </w:rPr>
        <w:t xml:space="preserve">.</w:t>
      </w:r>
      <w:r/>
    </w:p>
  </w:footnote>
  <w:footnote w:id="20">
    <w:p>
      <w:pPr>
        <w:pStyle w:val="1348"/>
      </w:pPr>
      <w:r>
        <w:rPr>
          <w:rStyle w:val="1347"/>
        </w:rPr>
        <w:footnoteRef/>
      </w:r>
      <w:r>
        <w:t xml:space="preserve"> </w:t>
      </w:r>
      <w:r>
        <w:rPr>
          <w:rFonts w:eastAsiaTheme="minorHAnsi"/>
          <w:lang w:eastAsia="en-US"/>
        </w:rPr>
        <w:t xml:space="preserve">Данный абзац следует исключить из текста заявки в случае подачи заявки физическим лицом.</w:t>
      </w:r>
      <w:r/>
    </w:p>
  </w:footnote>
  <w:footnote w:id="21">
    <w:p>
      <w:pPr>
        <w:pStyle w:val="1348"/>
        <w:spacing w:after="0"/>
      </w:pPr>
      <w:r>
        <w:rPr>
          <w:rStyle w:val="1347"/>
        </w:rPr>
        <w:footnoteRef/>
      </w:r>
      <w:r>
        <w:t xml:space="preserve"> В соо</w:t>
      </w:r>
      <w:r>
        <w:t xml:space="preserve">тветствии со ст. 102 НК РФ – данная информация не является налоговой тайной</w:t>
      </w:r>
      <w:r/>
    </w:p>
  </w:footnote>
  <w:footnote w:id="22">
    <w:p>
      <w:pPr>
        <w:pStyle w:val="1348"/>
        <w:spacing w:after="0"/>
      </w:pPr>
      <w:r>
        <w:rPr>
          <w:rStyle w:val="1347"/>
        </w:rPr>
        <w:footnoteRef/>
      </w:r>
      <w:r>
        <w:t xml:space="preserve"> В соответствии со ст. 102 НК РФ – данная информация не является налоговой тайной</w:t>
      </w:r>
      <w:r/>
    </w:p>
  </w:footnote>
  <w:footnote w:id="23">
    <w:p>
      <w:pPr>
        <w:pStyle w:val="1348"/>
        <w:spacing w:after="0"/>
      </w:pPr>
      <w:r>
        <w:rPr>
          <w:rStyle w:val="1347"/>
        </w:rPr>
        <w:footnoteRef/>
      </w:r>
      <w:r>
        <w:t xml:space="preserve"> В соответствии со ст. 102 НК РФ – данная информация не является налоговой тайной</w:t>
      </w:r>
      <w:r/>
    </w:p>
  </w:footnote>
  <w:footnote w:id="24">
    <w:p>
      <w:pPr>
        <w:pStyle w:val="1348"/>
      </w:pPr>
      <w:r>
        <w:rPr>
          <w:rStyle w:val="1347"/>
        </w:rPr>
        <w:footnoteRef/>
      </w:r>
      <w:r>
        <w:t xml:space="preserve"> Лица, занима</w:t>
      </w:r>
      <w:r>
        <w:t xml:space="preserve">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</w:t>
      </w:r>
      <w:r>
        <w:t xml:space="preserve">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</w:t>
      </w:r>
      <w:r>
        <w:t xml:space="preserve"> Федерации. (</w:t>
      </w:r>
      <w:r>
        <w:rPr>
          <w:b/>
        </w:rPr>
        <w:t xml:space="preserve">Перечень публичных должностных лиц указан в </w:t>
      </w:r>
      <w:r/>
    </w:p>
  </w:footnote>
  <w:footnote w:id="25">
    <w:p>
      <w:pPr>
        <w:pStyle w:val="1348"/>
      </w:pPr>
      <w:r>
        <w:rPr>
          <w:rStyle w:val="1347"/>
        </w:rPr>
        <w:t xml:space="preserve">1</w:t>
      </w:r>
      <w: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</w:t>
      </w:r>
      <w:r>
        <w:t xml:space="preserve"> не является кредитной организацией.</w:t>
      </w:r>
      <w:r/>
    </w:p>
  </w:footnote>
  <w:footnote w:id="26">
    <w:p>
      <w:pPr>
        <w:pStyle w:val="1348"/>
      </w:pPr>
      <w:r>
        <w:rPr>
          <w:rStyle w:val="1347"/>
        </w:rPr>
        <w:t xml:space="preserve">1</w:t>
      </w:r>
      <w: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</w:t>
      </w:r>
      <w:r>
        <w:t xml:space="preserve">й организацией.</w:t>
      </w:r>
      <w:r/>
    </w:p>
  </w:footnote>
  <w:footnote w:id="27">
    <w:p>
      <w:pPr>
        <w:pStyle w:val="1348"/>
      </w:pPr>
      <w:r>
        <w:rPr>
          <w:rStyle w:val="1347"/>
        </w:rPr>
        <w:t xml:space="preserve">****</w:t>
      </w:r>
      <w:r>
        <w:t xml:space="preserve"> </w:t>
      </w:r>
      <w:r>
        <w:rPr>
          <w:bCs/>
        </w:rPr>
        <w:t xml:space="preserve">Настоящая форма применяется в случае использования независимых гарантий на этапе заключения договора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russianLower"/>
      <w:isLgl w:val="false"/>
      <w:suff w:val="tab"/>
      <w:lvlText w:val="%2)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1317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pStyle w:val="1411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414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415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09" w:hanging="360"/>
      </w:pPr>
      <w:rPr>
        <w:rFonts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1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 w:ascii="Times New Roman" w:hAnsi="Times New Roman" w:cs="Times New Roman"/>
        <w:b/>
        <w:color w:val="auto"/>
        <w:sz w:val="28"/>
        <w:szCs w:val="28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"/>
      <w:lvlJc w:val="left"/>
      <w:pPr>
        <w:ind w:left="57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9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86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936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09" w:hanging="360"/>
      </w:pPr>
      <w:rPr>
        <w:rFonts w:ascii="Symbol" w:hAnsi="Symbol"/>
        <w:b w:val="0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3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5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7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9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1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3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5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7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93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6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8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0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2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4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6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8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0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22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"/>
      <w:lvlJc w:val="left"/>
      <w:pPr>
        <w:tabs>
          <w:tab w:val="num" w:pos="0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 w:cs="Times New Roman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986" w:hanging="568"/>
        <w:tabs>
          <w:tab w:val="num" w:pos="1986" w:leader="none"/>
        </w:tabs>
      </w:pPr>
      <w:rPr>
        <w:rFonts w:hint="default" w:cs="Times New Roman"/>
      </w:rPr>
    </w:lvl>
    <w:lvl w:ilvl="1">
      <w:start w:val="1"/>
      <w:numFmt w:val="decimal"/>
      <w:pStyle w:val="1485"/>
      <w:isLgl w:val="false"/>
      <w:suff w:val="tab"/>
      <w:lvlText w:val="%1.%2."/>
      <w:lvlJc w:val="left"/>
      <w:pPr>
        <w:ind w:left="3687" w:hanging="1134"/>
        <w:tabs>
          <w:tab w:val="num" w:pos="3687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396" w:hanging="1134"/>
        <w:tabs>
          <w:tab w:val="num" w:pos="4396" w:leader="none"/>
        </w:tabs>
      </w:pPr>
      <w:rPr>
        <w:rFonts w:hint="default" w:cs="Times New Roma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54" w:hanging="1134"/>
        <w:tabs>
          <w:tab w:val="num" w:pos="4254" w:leader="none"/>
        </w:tabs>
      </w:pPr>
      <w:rPr>
        <w:rFonts w:hint="default" w:cs="Times New Roman"/>
      </w:rPr>
    </w:lvl>
    <w:lvl w:ilvl="4">
      <w:start w:val="1"/>
      <w:numFmt w:val="lowerLetter"/>
      <w:isLgl w:val="false"/>
      <w:suff w:val="tab"/>
      <w:lvlText w:val="%5)"/>
      <w:lvlJc w:val="left"/>
      <w:pPr>
        <w:ind w:left="3119" w:hanging="567"/>
        <w:tabs>
          <w:tab w:val="num" w:pos="3119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011" w:hanging="1152"/>
        <w:tabs>
          <w:tab w:val="num" w:pos="4011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4155" w:hanging="1296"/>
        <w:tabs>
          <w:tab w:val="num" w:pos="4155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99" w:hanging="1440"/>
        <w:tabs>
          <w:tab w:val="num" w:pos="4299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443" w:hanging="1584"/>
        <w:tabs>
          <w:tab w:val="num" w:pos="4443" w:leader="none"/>
        </w:tabs>
      </w:pPr>
      <w:rPr>
        <w:rFonts w:hint="default" w:cs="Times New Roman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40" w:hanging="360"/>
      </w:pPr>
      <w:rPr>
        <w:rFonts w:hint="default"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"/>
      <w:lvlJc w:val="left"/>
      <w:pPr>
        <w:ind w:left="57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9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86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936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b/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448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09" w:hanging="360"/>
      </w:pPr>
      <w:rPr>
        <w:rFonts w:ascii="Symbol" w:hAnsi="Symbol"/>
        <w:b w:val="0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00" w:hanging="90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1020" w:hanging="90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140" w:hanging="900"/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440" w:hanging="1080"/>
      </w:pPr>
      <w:rPr>
        <w:rFonts w:hint="default" w:cs="Times New Roman"/>
        <w:b w:val="0"/>
        <w:sz w:val="24"/>
        <w:szCs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eastAsia="Arial" w:cs="Arial"/>
        <w:b w:val="0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5" w:hanging="360"/>
      </w:pPr>
      <w:rPr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3">
    <w:multiLevelType w:val="hybridMultilevel"/>
    <w:lvl w:ilvl="0">
      <w:start w:val="1"/>
      <w:numFmt w:val="decimal"/>
      <w:pStyle w:val="1479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481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480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482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russianLower"/>
      <w:isLgl w:val="false"/>
      <w:suff w:val="tab"/>
      <w:lvlText w:val="%2)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"/>
      <w:lvlJc w:val="left"/>
      <w:pPr>
        <w:ind w:left="57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9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86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9360" w:hanging="360"/>
      </w:pPr>
      <w:rPr>
        <w:rFonts w:hint="default" w:ascii="Wingdings" w:hAnsi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52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12" w:hanging="180"/>
      </w:pPr>
    </w:lvl>
  </w:abstractNum>
  <w:abstractNum w:abstractNumId="5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828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88" w:hanging="360"/>
      </w:pPr>
      <w:rPr>
        <w:rFonts w:hint="default" w:ascii="Wingdings" w:hAnsi="Wingdings"/>
      </w:rPr>
    </w:lvl>
  </w:abstractNum>
  <w:abstractNum w:abstractNumId="5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0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52" w:hanging="18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0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1"/>
  </w:num>
  <w:num w:numId="5">
    <w:abstractNumId w:val="32"/>
  </w:num>
  <w:num w:numId="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22"/>
  </w:num>
  <w:num w:numId="9">
    <w:abstractNumId w:val="24"/>
  </w:num>
  <w:num w:numId="10">
    <w:abstractNumId w:val="49"/>
  </w:num>
  <w:num w:numId="11">
    <w:abstractNumId w:val="5"/>
  </w:num>
  <w:num w:numId="12">
    <w:abstractNumId w:val="19"/>
  </w:num>
  <w:num w:numId="13">
    <w:abstractNumId w:val="46"/>
  </w:num>
  <w:num w:numId="1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0"/>
  </w:num>
  <w:num w:numId="17">
    <w:abstractNumId w:val="30"/>
  </w:num>
  <w:num w:numId="18">
    <w:abstractNumId w:val="29"/>
  </w:num>
  <w:num w:numId="19">
    <w:abstractNumId w:val="25"/>
  </w:num>
  <w:num w:numId="20">
    <w:abstractNumId w:val="51"/>
  </w:num>
  <w:num w:numId="21">
    <w:abstractNumId w:val="23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/>
        <w:rPr>
          <w:rFonts w:hint="default" w:ascii="Times New Roman" w:hAnsi="Times New Roman"/>
        </w:rPr>
      </w:lvl>
    </w:lvlOverride>
  </w:num>
  <w:num w:numId="2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48"/>
  </w:num>
  <w:num w:numId="25">
    <w:abstractNumId w:val="37"/>
  </w:num>
  <w:num w:numId="26">
    <w:abstractNumId w:val="31"/>
  </w:num>
  <w:num w:numId="27">
    <w:abstractNumId w:val="57"/>
  </w:num>
  <w:num w:numId="28">
    <w:abstractNumId w:val="41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2"/>
  </w:num>
  <w:num w:numId="31">
    <w:abstractNumId w:val="36"/>
  </w:num>
  <w:num w:numId="32">
    <w:abstractNumId w:val="7"/>
  </w:num>
  <w:num w:numId="33">
    <w:abstractNumId w:val="28"/>
  </w:num>
  <w:num w:numId="34">
    <w:abstractNumId w:val="40"/>
  </w:num>
  <w:num w:numId="35">
    <w:abstractNumId w:val="53"/>
  </w:num>
  <w:num w:numId="36">
    <w:abstractNumId w:val="13"/>
  </w:num>
  <w:num w:numId="37">
    <w:abstractNumId w:val="34"/>
  </w:num>
  <w:num w:numId="38">
    <w:abstractNumId w:val="42"/>
  </w:num>
  <w:num w:numId="39">
    <w:abstractNumId w:val="44"/>
  </w:num>
  <w:num w:numId="40">
    <w:abstractNumId w:val="35"/>
  </w:num>
  <w:num w:numId="41">
    <w:abstractNumId w:val="58"/>
  </w:num>
  <w:num w:numId="42">
    <w:abstractNumId w:val="55"/>
  </w:num>
  <w:num w:numId="43">
    <w:abstractNumId w:val="56"/>
  </w:num>
  <w:num w:numId="44">
    <w:abstractNumId w:val="33"/>
  </w:num>
  <w:num w:numId="45">
    <w:abstractNumId w:val="27"/>
  </w:num>
  <w:num w:numId="46">
    <w:abstractNumId w:val="18"/>
  </w:num>
  <w:num w:numId="47">
    <w:abstractNumId w:val="39"/>
  </w:num>
  <w:num w:numId="48">
    <w:abstractNumId w:val="20"/>
  </w:num>
  <w:num w:numId="49">
    <w:abstractNumId w:val="12"/>
  </w:num>
  <w:num w:numId="50">
    <w:abstractNumId w:val="0"/>
  </w:num>
  <w:num w:numId="51">
    <w:abstractNumId w:val="26"/>
  </w:num>
  <w:num w:numId="52">
    <w:abstractNumId w:val="16"/>
  </w:num>
  <w:num w:numId="53">
    <w:abstractNumId w:val="4"/>
  </w:num>
  <w:num w:numId="54">
    <w:abstractNumId w:val="50"/>
  </w:num>
  <w:num w:numId="55">
    <w:abstractNumId w:val="47"/>
  </w:num>
  <w:num w:numId="56">
    <w:abstractNumId w:val="54"/>
  </w:num>
  <w:num w:numId="57">
    <w:abstractNumId w:val="9"/>
  </w:num>
  <w:num w:numId="58">
    <w:abstractNumId w:val="8"/>
  </w:num>
  <w:num w:numId="5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43" w:default="1">
    <w:name w:val="Normal"/>
    <w:qFormat/>
    <w:pPr>
      <w:jc w:val="both"/>
      <w:spacing w:after="6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44">
    <w:name w:val="Heading 1"/>
    <w:basedOn w:val="1143"/>
    <w:next w:val="1143"/>
    <w:link w:val="1306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1145">
    <w:name w:val="Heading 2"/>
    <w:basedOn w:val="1143"/>
    <w:next w:val="1143"/>
    <w:link w:val="1307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1146">
    <w:name w:val="Heading 3"/>
    <w:basedOn w:val="1143"/>
    <w:next w:val="1143"/>
    <w:link w:val="1308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1147">
    <w:name w:val="Heading 4"/>
    <w:basedOn w:val="1143"/>
    <w:next w:val="1143"/>
    <w:link w:val="1309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1148">
    <w:name w:val="Heading 5"/>
    <w:basedOn w:val="1143"/>
    <w:next w:val="1143"/>
    <w:link w:val="1310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1149">
    <w:name w:val="Heading 6"/>
    <w:basedOn w:val="1143"/>
    <w:next w:val="1143"/>
    <w:link w:val="1311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1150">
    <w:name w:val="Heading 7"/>
    <w:basedOn w:val="1143"/>
    <w:next w:val="1143"/>
    <w:link w:val="1312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1151">
    <w:name w:val="Heading 8"/>
    <w:basedOn w:val="1143"/>
    <w:next w:val="1143"/>
    <w:link w:val="1313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1152">
    <w:name w:val="Heading 9"/>
    <w:basedOn w:val="1143"/>
    <w:next w:val="1143"/>
    <w:link w:val="1314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1153" w:default="1">
    <w:name w:val="Default Paragraph Font"/>
    <w:uiPriority w:val="1"/>
    <w:semiHidden/>
    <w:unhideWhenUsed/>
  </w:style>
  <w:style w:type="table" w:styleId="115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55" w:default="1">
    <w:name w:val="No List"/>
    <w:uiPriority w:val="99"/>
    <w:semiHidden/>
    <w:unhideWhenUsed/>
  </w:style>
  <w:style w:type="character" w:styleId="1156" w:customStyle="1">
    <w:name w:val="Quote Char"/>
    <w:uiPriority w:val="29"/>
    <w:rPr>
      <w:i/>
    </w:rPr>
  </w:style>
  <w:style w:type="character" w:styleId="1157" w:customStyle="1">
    <w:name w:val="Intense Quote Char"/>
    <w:uiPriority w:val="30"/>
    <w:rPr>
      <w:i/>
    </w:rPr>
  </w:style>
  <w:style w:type="character" w:styleId="1158" w:customStyle="1">
    <w:name w:val="Heading 1 Char"/>
    <w:basedOn w:val="1153"/>
    <w:uiPriority w:val="9"/>
    <w:rPr>
      <w:rFonts w:ascii="Arial" w:hAnsi="Arial" w:eastAsia="Arial" w:cs="Arial"/>
      <w:sz w:val="40"/>
      <w:szCs w:val="40"/>
    </w:rPr>
  </w:style>
  <w:style w:type="character" w:styleId="1159" w:customStyle="1">
    <w:name w:val="Heading 2 Char"/>
    <w:basedOn w:val="1153"/>
    <w:uiPriority w:val="9"/>
    <w:rPr>
      <w:rFonts w:ascii="Arial" w:hAnsi="Arial" w:eastAsia="Arial" w:cs="Arial"/>
      <w:sz w:val="34"/>
    </w:rPr>
  </w:style>
  <w:style w:type="character" w:styleId="1160" w:customStyle="1">
    <w:name w:val="Heading 3 Char"/>
    <w:basedOn w:val="1153"/>
    <w:uiPriority w:val="9"/>
    <w:rPr>
      <w:rFonts w:ascii="Arial" w:hAnsi="Arial" w:eastAsia="Arial" w:cs="Arial"/>
      <w:sz w:val="30"/>
      <w:szCs w:val="30"/>
    </w:rPr>
  </w:style>
  <w:style w:type="character" w:styleId="1161" w:customStyle="1">
    <w:name w:val="Heading 4 Char"/>
    <w:basedOn w:val="1153"/>
    <w:uiPriority w:val="9"/>
    <w:rPr>
      <w:rFonts w:ascii="Arial" w:hAnsi="Arial" w:eastAsia="Arial" w:cs="Arial"/>
      <w:b/>
      <w:bCs/>
      <w:sz w:val="26"/>
      <w:szCs w:val="26"/>
    </w:rPr>
  </w:style>
  <w:style w:type="character" w:styleId="1162" w:customStyle="1">
    <w:name w:val="Heading 5 Char"/>
    <w:basedOn w:val="1153"/>
    <w:uiPriority w:val="9"/>
    <w:rPr>
      <w:rFonts w:ascii="Arial" w:hAnsi="Arial" w:eastAsia="Arial" w:cs="Arial"/>
      <w:b/>
      <w:bCs/>
      <w:sz w:val="24"/>
      <w:szCs w:val="24"/>
    </w:rPr>
  </w:style>
  <w:style w:type="character" w:styleId="1163" w:customStyle="1">
    <w:name w:val="Heading 6 Char"/>
    <w:basedOn w:val="1153"/>
    <w:uiPriority w:val="9"/>
    <w:rPr>
      <w:rFonts w:ascii="Arial" w:hAnsi="Arial" w:eastAsia="Arial" w:cs="Arial"/>
      <w:b/>
      <w:bCs/>
      <w:sz w:val="22"/>
      <w:szCs w:val="22"/>
    </w:rPr>
  </w:style>
  <w:style w:type="character" w:styleId="1164" w:customStyle="1">
    <w:name w:val="Heading 7 Char"/>
    <w:basedOn w:val="115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165" w:customStyle="1">
    <w:name w:val="Heading 8 Char"/>
    <w:basedOn w:val="1153"/>
    <w:uiPriority w:val="9"/>
    <w:rPr>
      <w:rFonts w:ascii="Arial" w:hAnsi="Arial" w:eastAsia="Arial" w:cs="Arial"/>
      <w:i/>
      <w:iCs/>
      <w:sz w:val="22"/>
      <w:szCs w:val="22"/>
    </w:rPr>
  </w:style>
  <w:style w:type="character" w:styleId="1166" w:customStyle="1">
    <w:name w:val="Heading 9 Char"/>
    <w:basedOn w:val="1153"/>
    <w:uiPriority w:val="9"/>
    <w:rPr>
      <w:rFonts w:ascii="Arial" w:hAnsi="Arial" w:eastAsia="Arial" w:cs="Arial"/>
      <w:i/>
      <w:iCs/>
      <w:sz w:val="21"/>
      <w:szCs w:val="21"/>
    </w:rPr>
  </w:style>
  <w:style w:type="character" w:styleId="1167" w:customStyle="1">
    <w:name w:val="Title Char"/>
    <w:basedOn w:val="1153"/>
    <w:uiPriority w:val="10"/>
    <w:rPr>
      <w:sz w:val="48"/>
      <w:szCs w:val="48"/>
    </w:rPr>
  </w:style>
  <w:style w:type="character" w:styleId="1168" w:customStyle="1">
    <w:name w:val="Subtitle Char"/>
    <w:basedOn w:val="1153"/>
    <w:uiPriority w:val="11"/>
    <w:rPr>
      <w:sz w:val="24"/>
      <w:szCs w:val="24"/>
    </w:rPr>
  </w:style>
  <w:style w:type="paragraph" w:styleId="1169">
    <w:name w:val="Quote"/>
    <w:basedOn w:val="1143"/>
    <w:next w:val="1143"/>
    <w:link w:val="1170"/>
    <w:uiPriority w:val="29"/>
    <w:qFormat/>
    <w:pPr>
      <w:ind w:left="720" w:right="720"/>
    </w:pPr>
    <w:rPr>
      <w:i/>
    </w:rPr>
  </w:style>
  <w:style w:type="character" w:styleId="1170" w:customStyle="1">
    <w:name w:val="Цитата 2 Знак"/>
    <w:link w:val="1169"/>
    <w:uiPriority w:val="29"/>
    <w:rPr>
      <w:i/>
    </w:rPr>
  </w:style>
  <w:style w:type="paragraph" w:styleId="1171">
    <w:name w:val="Intense Quote"/>
    <w:basedOn w:val="1143"/>
    <w:next w:val="1143"/>
    <w:link w:val="117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172" w:customStyle="1">
    <w:name w:val="Выделенная цитата Знак"/>
    <w:link w:val="1171"/>
    <w:uiPriority w:val="30"/>
    <w:rPr>
      <w:i/>
    </w:rPr>
  </w:style>
  <w:style w:type="character" w:styleId="1173" w:customStyle="1">
    <w:name w:val="Header Char"/>
    <w:basedOn w:val="1153"/>
    <w:uiPriority w:val="99"/>
  </w:style>
  <w:style w:type="character" w:styleId="1174" w:customStyle="1">
    <w:name w:val="Footer Char"/>
    <w:basedOn w:val="1153"/>
    <w:uiPriority w:val="99"/>
  </w:style>
  <w:style w:type="character" w:styleId="1175" w:customStyle="1">
    <w:name w:val="Caption Char"/>
    <w:uiPriority w:val="99"/>
  </w:style>
  <w:style w:type="table" w:styleId="1176" w:customStyle="1">
    <w:name w:val="Table Grid Light"/>
    <w:basedOn w:val="115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177">
    <w:name w:val="Plain Table 1"/>
    <w:basedOn w:val="115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178">
    <w:name w:val="Plain Table 2"/>
    <w:basedOn w:val="115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179">
    <w:name w:val="Plain Table 3"/>
    <w:basedOn w:val="115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180">
    <w:name w:val="Plain Table 4"/>
    <w:basedOn w:val="115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1">
    <w:name w:val="Plain Table 5"/>
    <w:basedOn w:val="115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182">
    <w:name w:val="Grid Table 1 Light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3" w:customStyle="1">
    <w:name w:val="Grid Table 1 Light - Accent 1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4" w:customStyle="1">
    <w:name w:val="Grid Table 1 Light - Accent 2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5" w:customStyle="1">
    <w:name w:val="Grid Table 1 Light - Accent 3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6" w:customStyle="1">
    <w:name w:val="Grid Table 1 Light - Accent 4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7" w:customStyle="1">
    <w:name w:val="Grid Table 1 Light - Accent 5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8" w:customStyle="1">
    <w:name w:val="Grid Table 1 Light - Accent 6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9">
    <w:name w:val="Grid Table 2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0" w:customStyle="1">
    <w:name w:val="Grid Table 2 - Accent 1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1" w:customStyle="1">
    <w:name w:val="Grid Table 2 - Accent 2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2" w:customStyle="1">
    <w:name w:val="Grid Table 2 - Accent 3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3" w:customStyle="1">
    <w:name w:val="Grid Table 2 - Accent 4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4" w:customStyle="1">
    <w:name w:val="Grid Table 2 - Accent 5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5" w:customStyle="1">
    <w:name w:val="Grid Table 2 - Accent 6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6">
    <w:name w:val="Grid Table 3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7" w:customStyle="1">
    <w:name w:val="Grid Table 3 - Accent 1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8" w:customStyle="1">
    <w:name w:val="Grid Table 3 - Accent 2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9" w:customStyle="1">
    <w:name w:val="Grid Table 3 - Accent 3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0" w:customStyle="1">
    <w:name w:val="Grid Table 3 - Accent 4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1" w:customStyle="1">
    <w:name w:val="Grid Table 3 - Accent 5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2" w:customStyle="1">
    <w:name w:val="Grid Table 3 - Accent 6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3">
    <w:name w:val="Grid Table 4"/>
    <w:basedOn w:val="115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204" w:customStyle="1">
    <w:name w:val="Grid Table 4 - Accent 1"/>
    <w:basedOn w:val="115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1205" w:customStyle="1">
    <w:name w:val="Grid Table 4 - Accent 2"/>
    <w:basedOn w:val="115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1206" w:customStyle="1">
    <w:name w:val="Grid Table 4 - Accent 3"/>
    <w:basedOn w:val="115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1207" w:customStyle="1">
    <w:name w:val="Grid Table 4 - Accent 4"/>
    <w:basedOn w:val="115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1208" w:customStyle="1">
    <w:name w:val="Grid Table 4 - Accent 5"/>
    <w:basedOn w:val="115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1209" w:customStyle="1">
    <w:name w:val="Grid Table 4 - Accent 6"/>
    <w:basedOn w:val="115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210">
    <w:name w:val="Grid Table 5 Dark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211" w:customStyle="1">
    <w:name w:val="Grid Table 5 Dark- Accent 1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1212" w:customStyle="1">
    <w:name w:val="Grid Table 5 Dark - Accent 2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1213" w:customStyle="1">
    <w:name w:val="Grid Table 5 Dark - Accent 3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1214" w:customStyle="1">
    <w:name w:val="Grid Table 5 Dark- Accent 4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1215" w:customStyle="1">
    <w:name w:val="Grid Table 5 Dark - Accent 5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1216" w:customStyle="1">
    <w:name w:val="Grid Table 5 Dark - Accent 6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1217">
    <w:name w:val="Grid Table 6 Colorful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218" w:customStyle="1">
    <w:name w:val="Grid Table 6 Colorful - Accent 1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1219" w:customStyle="1">
    <w:name w:val="Grid Table 6 Colorful - Accent 2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1220" w:customStyle="1">
    <w:name w:val="Grid Table 6 Colorful - Accent 3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1221" w:customStyle="1">
    <w:name w:val="Grid Table 6 Colorful - Accent 4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1222" w:customStyle="1">
    <w:name w:val="Grid Table 6 Colorful - Accent 5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223" w:customStyle="1">
    <w:name w:val="Grid Table 6 Colorful - Accent 6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224">
    <w:name w:val="Grid Table 7 Colorful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25" w:customStyle="1">
    <w:name w:val="Grid Table 7 Colorful - Accent 1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26" w:customStyle="1">
    <w:name w:val="Grid Table 7 Colorful - Accent 2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27" w:customStyle="1">
    <w:name w:val="Grid Table 7 Colorful - Accent 3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28" w:customStyle="1">
    <w:name w:val="Grid Table 7 Colorful - Accent 4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29" w:customStyle="1">
    <w:name w:val="Grid Table 7 Colorful - Accent 5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30" w:customStyle="1">
    <w:name w:val="Grid Table 7 Colorful - Accent 6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31">
    <w:name w:val="List Table 1 Light"/>
    <w:basedOn w:val="115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2" w:customStyle="1">
    <w:name w:val="List Table 1 Light - Accent 1"/>
    <w:basedOn w:val="115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3" w:customStyle="1">
    <w:name w:val="List Table 1 Light - Accent 2"/>
    <w:basedOn w:val="115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4" w:customStyle="1">
    <w:name w:val="List Table 1 Light - Accent 3"/>
    <w:basedOn w:val="115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5" w:customStyle="1">
    <w:name w:val="List Table 1 Light - Accent 4"/>
    <w:basedOn w:val="115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6" w:customStyle="1">
    <w:name w:val="List Table 1 Light - Accent 5"/>
    <w:basedOn w:val="115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7" w:customStyle="1">
    <w:name w:val="List Table 1 Light - Accent 6"/>
    <w:basedOn w:val="115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8">
    <w:name w:val="List Table 2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239" w:customStyle="1">
    <w:name w:val="List Table 2 - Accent 1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1240" w:customStyle="1">
    <w:name w:val="List Table 2 - Accent 2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241" w:customStyle="1">
    <w:name w:val="List Table 2 - Accent 3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242" w:customStyle="1">
    <w:name w:val="List Table 2 - Accent 4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1243" w:customStyle="1">
    <w:name w:val="List Table 2 - Accent 5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1244" w:customStyle="1">
    <w:name w:val="List Table 2 - Accent 6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245">
    <w:name w:val="List Table 3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6" w:customStyle="1">
    <w:name w:val="List Table 3 - Accent 1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7" w:customStyle="1">
    <w:name w:val="List Table 3 - Accent 2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8" w:customStyle="1">
    <w:name w:val="List Table 3 - Accent 3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9" w:customStyle="1">
    <w:name w:val="List Table 3 - Accent 4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0" w:customStyle="1">
    <w:name w:val="List Table 3 - Accent 5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1" w:customStyle="1">
    <w:name w:val="List Table 3 - Accent 6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2">
    <w:name w:val="List Table 4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3" w:customStyle="1">
    <w:name w:val="List Table 4 - Accent 1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4" w:customStyle="1">
    <w:name w:val="List Table 4 - Accent 2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5" w:customStyle="1">
    <w:name w:val="List Table 4 - Accent 3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6" w:customStyle="1">
    <w:name w:val="List Table 4 - Accent 4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7" w:customStyle="1">
    <w:name w:val="List Table 4 - Accent 5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8" w:customStyle="1">
    <w:name w:val="List Table 4 - Accent 6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9">
    <w:name w:val="List Table 5 Dark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60" w:customStyle="1">
    <w:name w:val="List Table 5 Dark - Accent 1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61" w:customStyle="1">
    <w:name w:val="List Table 5 Dark - Accent 2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62" w:customStyle="1">
    <w:name w:val="List Table 5 Dark - Accent 3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63" w:customStyle="1">
    <w:name w:val="List Table 5 Dark - Accent 4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64" w:customStyle="1">
    <w:name w:val="List Table 5 Dark - Accent 5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65" w:customStyle="1">
    <w:name w:val="List Table 5 Dark - Accent 6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66">
    <w:name w:val="List Table 6 Colorful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267" w:customStyle="1">
    <w:name w:val="List Table 6 Colorful - Accent 1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1268" w:customStyle="1">
    <w:name w:val="List Table 6 Colorful - Accent 2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269" w:customStyle="1">
    <w:name w:val="List Table 6 Colorful - Accent 3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270" w:customStyle="1">
    <w:name w:val="List Table 6 Colorful - Accent 4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271" w:customStyle="1">
    <w:name w:val="List Table 6 Colorful - Accent 5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1272" w:customStyle="1">
    <w:name w:val="List Table 6 Colorful - Accent 6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273">
    <w:name w:val="List Table 7 Colorful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74" w:customStyle="1">
    <w:name w:val="List Table 7 Colorful - Accent 1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75" w:customStyle="1">
    <w:name w:val="List Table 7 Colorful - Accent 2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76" w:customStyle="1">
    <w:name w:val="List Table 7 Colorful - Accent 3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77" w:customStyle="1">
    <w:name w:val="List Table 7 Colorful - Accent 4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78" w:customStyle="1">
    <w:name w:val="List Table 7 Colorful - Accent 5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79" w:customStyle="1">
    <w:name w:val="List Table 7 Colorful - Accent 6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80" w:customStyle="1">
    <w:name w:val="Lined - Accent"/>
    <w:basedOn w:val="11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281" w:customStyle="1">
    <w:name w:val="Lined - Accent 1"/>
    <w:basedOn w:val="11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282" w:customStyle="1">
    <w:name w:val="Lined - Accent 2"/>
    <w:basedOn w:val="11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283" w:customStyle="1">
    <w:name w:val="Lined - Accent 3"/>
    <w:basedOn w:val="11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284" w:customStyle="1">
    <w:name w:val="Lined - Accent 4"/>
    <w:basedOn w:val="11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285" w:customStyle="1">
    <w:name w:val="Lined - Accent 5"/>
    <w:basedOn w:val="11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286" w:customStyle="1">
    <w:name w:val="Lined - Accent 6"/>
    <w:basedOn w:val="11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287" w:customStyle="1">
    <w:name w:val="Bordered &amp; Lined - Accent"/>
    <w:basedOn w:val="11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288" w:customStyle="1">
    <w:name w:val="Bordered &amp; Lined - Accent 1"/>
    <w:basedOn w:val="11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289" w:customStyle="1">
    <w:name w:val="Bordered &amp; Lined - Accent 2"/>
    <w:basedOn w:val="11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290" w:customStyle="1">
    <w:name w:val="Bordered &amp; Lined - Accent 3"/>
    <w:basedOn w:val="11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291" w:customStyle="1">
    <w:name w:val="Bordered &amp; Lined - Accent 4"/>
    <w:basedOn w:val="11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292" w:customStyle="1">
    <w:name w:val="Bordered &amp; Lined - Accent 5"/>
    <w:basedOn w:val="11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293" w:customStyle="1">
    <w:name w:val="Bordered &amp; Lined - Accent 6"/>
    <w:basedOn w:val="11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294" w:customStyle="1">
    <w:name w:val="Bordered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295" w:customStyle="1">
    <w:name w:val="Bordered - Accent 1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296" w:customStyle="1">
    <w:name w:val="Bordered - Accent 2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297" w:customStyle="1">
    <w:name w:val="Bordered - Accent 3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298" w:customStyle="1">
    <w:name w:val="Bordered - Accent 4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299" w:customStyle="1">
    <w:name w:val="Bordered - Accent 5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1300" w:customStyle="1">
    <w:name w:val="Bordered - Accent 6"/>
    <w:basedOn w:val="11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301" w:customStyle="1">
    <w:name w:val="Footnote Text Char"/>
    <w:uiPriority w:val="99"/>
    <w:rPr>
      <w:sz w:val="18"/>
    </w:rPr>
  </w:style>
  <w:style w:type="character" w:styleId="1302" w:customStyle="1">
    <w:name w:val="Endnote Text Char"/>
    <w:uiPriority w:val="99"/>
    <w:rPr>
      <w:sz w:val="20"/>
    </w:rPr>
  </w:style>
  <w:style w:type="character" w:styleId="1303">
    <w:name w:val="endnote reference"/>
    <w:basedOn w:val="1153"/>
    <w:uiPriority w:val="99"/>
    <w:semiHidden/>
    <w:unhideWhenUsed/>
    <w:rPr>
      <w:vertAlign w:val="superscript"/>
    </w:rPr>
  </w:style>
  <w:style w:type="paragraph" w:styleId="1304">
    <w:name w:val="TOC Heading"/>
    <w:uiPriority w:val="39"/>
    <w:unhideWhenUsed/>
  </w:style>
  <w:style w:type="paragraph" w:styleId="1305">
    <w:name w:val="table of figures"/>
    <w:basedOn w:val="1143"/>
    <w:next w:val="1143"/>
    <w:uiPriority w:val="99"/>
    <w:unhideWhenUsed/>
    <w:pPr>
      <w:spacing w:after="0"/>
    </w:pPr>
  </w:style>
  <w:style w:type="character" w:styleId="1306" w:customStyle="1">
    <w:name w:val="Заголовок 1 Знак1"/>
    <w:link w:val="1144"/>
    <w:uiPriority w:val="99"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styleId="1307" w:customStyle="1">
    <w:name w:val="Заголовок 2 Знак"/>
    <w:basedOn w:val="1153"/>
    <w:link w:val="1145"/>
    <w:rPr>
      <w:rFonts w:ascii="Times New Roman" w:hAnsi="Times New Roman" w:eastAsia="Times New Roman" w:cs="Times New Roman"/>
      <w:b/>
      <w:bCs/>
      <w:sz w:val="30"/>
      <w:szCs w:val="30"/>
      <w:lang w:eastAsia="ru-RU"/>
    </w:rPr>
  </w:style>
  <w:style w:type="character" w:styleId="1308" w:customStyle="1">
    <w:name w:val="Заголовок 3 Знак"/>
    <w:basedOn w:val="1153"/>
    <w:link w:val="1146"/>
    <w:uiPriority w:val="99"/>
    <w:rPr>
      <w:rFonts w:ascii="Arial" w:hAnsi="Arial" w:eastAsia="Times New Roman" w:cs="Arial"/>
      <w:b/>
      <w:bCs/>
      <w:sz w:val="24"/>
      <w:szCs w:val="24"/>
      <w:lang w:eastAsia="ru-RU"/>
    </w:rPr>
  </w:style>
  <w:style w:type="character" w:styleId="1309" w:customStyle="1">
    <w:name w:val="Заголовок 4 Знак"/>
    <w:basedOn w:val="1153"/>
    <w:link w:val="1147"/>
    <w:uiPriority w:val="99"/>
    <w:rPr>
      <w:rFonts w:ascii="Arial" w:hAnsi="Arial" w:eastAsia="Times New Roman" w:cs="Arial"/>
      <w:sz w:val="24"/>
      <w:szCs w:val="24"/>
      <w:lang w:eastAsia="ru-RU"/>
    </w:rPr>
  </w:style>
  <w:style w:type="character" w:styleId="1310" w:customStyle="1">
    <w:name w:val="Заголовок 5 Знак"/>
    <w:basedOn w:val="1153"/>
    <w:link w:val="1148"/>
    <w:uiPriority w:val="99"/>
    <w:rPr>
      <w:rFonts w:ascii="Calibri" w:hAnsi="Calibri" w:eastAsia="Times New Roman" w:cs="Calibri"/>
      <w:b/>
      <w:bCs/>
      <w:i/>
      <w:iCs/>
      <w:sz w:val="26"/>
      <w:szCs w:val="26"/>
      <w:lang w:eastAsia="ru-RU"/>
    </w:rPr>
  </w:style>
  <w:style w:type="character" w:styleId="1311" w:customStyle="1">
    <w:name w:val="Заголовок 6 Знак"/>
    <w:basedOn w:val="1153"/>
    <w:link w:val="1149"/>
    <w:uiPriority w:val="99"/>
    <w:rPr>
      <w:rFonts w:ascii="Times New Roman" w:hAnsi="Times New Roman" w:eastAsia="Times New Roman" w:cs="Times New Roman"/>
      <w:i/>
      <w:iCs/>
      <w:sz w:val="20"/>
      <w:szCs w:val="20"/>
      <w:lang w:eastAsia="ru-RU"/>
    </w:rPr>
  </w:style>
  <w:style w:type="character" w:styleId="1312" w:customStyle="1">
    <w:name w:val="Заголовок 7 Знак"/>
    <w:basedOn w:val="1153"/>
    <w:link w:val="1150"/>
    <w:uiPriority w:val="99"/>
    <w:rPr>
      <w:rFonts w:ascii="Arial" w:hAnsi="Arial" w:eastAsia="Times New Roman" w:cs="Arial"/>
      <w:sz w:val="20"/>
      <w:szCs w:val="20"/>
      <w:lang w:eastAsia="ru-RU"/>
    </w:rPr>
  </w:style>
  <w:style w:type="character" w:styleId="1313" w:customStyle="1">
    <w:name w:val="Заголовок 8 Знак"/>
    <w:basedOn w:val="1153"/>
    <w:link w:val="1151"/>
    <w:uiPriority w:val="99"/>
    <w:rPr>
      <w:rFonts w:ascii="Arial" w:hAnsi="Arial" w:eastAsia="Times New Roman" w:cs="Arial"/>
      <w:i/>
      <w:iCs/>
      <w:sz w:val="20"/>
      <w:szCs w:val="20"/>
      <w:lang w:eastAsia="ru-RU"/>
    </w:rPr>
  </w:style>
  <w:style w:type="character" w:styleId="1314" w:customStyle="1">
    <w:name w:val="Заголовок 9 Знак"/>
    <w:basedOn w:val="1153"/>
    <w:link w:val="1152"/>
    <w:uiPriority w:val="99"/>
    <w:rPr>
      <w:rFonts w:ascii="Arial" w:hAnsi="Arial" w:eastAsia="Times New Roman" w:cs="Arial"/>
      <w:b/>
      <w:bCs/>
      <w:i/>
      <w:iCs/>
      <w:sz w:val="18"/>
      <w:szCs w:val="18"/>
      <w:lang w:eastAsia="ru-RU"/>
    </w:rPr>
  </w:style>
  <w:style w:type="character" w:styleId="1315" w:customStyle="1">
    <w:name w:val="Заголовок 1 Знак"/>
    <w:basedOn w:val="1153"/>
    <w:rPr>
      <w:rFonts w:asciiTheme="majorHAnsi" w:hAnsiTheme="majorHAnsi" w:eastAsiaTheme="majorEastAsia" w:cstheme="majorBidi"/>
      <w:color w:val="2e74b5" w:themeColor="accent1" w:themeShade="BF"/>
      <w:sz w:val="32"/>
      <w:szCs w:val="32"/>
      <w:lang w:eastAsia="ru-RU"/>
    </w:rPr>
  </w:style>
  <w:style w:type="paragraph" w:styleId="1316" w:customStyle="1">
    <w:name w:val="Основной текст с отступом1"/>
    <w:basedOn w:val="1143"/>
    <w:uiPriority w:val="99"/>
    <w:pPr>
      <w:ind w:firstLine="851"/>
      <w:spacing w:before="60" w:after="0"/>
    </w:pPr>
  </w:style>
  <w:style w:type="paragraph" w:styleId="1317">
    <w:name w:val="Body Text Indent"/>
    <w:basedOn w:val="1143"/>
    <w:link w:val="1318"/>
    <w:uiPriority w:val="99"/>
    <w:pPr>
      <w:numPr>
        <w:ilvl w:val="1"/>
        <w:numId w:val="2"/>
      </w:numPr>
    </w:pPr>
  </w:style>
  <w:style w:type="character" w:styleId="1318" w:customStyle="1">
    <w:name w:val="Основной текст с отступом Знак"/>
    <w:basedOn w:val="1153"/>
    <w:link w:val="1317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19">
    <w:name w:val="List Bullet"/>
    <w:basedOn w:val="1143"/>
    <w:uiPriority w:val="99"/>
    <w:pPr>
      <w:widowControl w:val="off"/>
    </w:pPr>
  </w:style>
  <w:style w:type="paragraph" w:styleId="1320">
    <w:name w:val="List Bullet 2"/>
    <w:basedOn w:val="1143"/>
    <w:uiPriority w:val="99"/>
    <w:pPr>
      <w:ind w:left="643" w:hanging="360"/>
      <w:tabs>
        <w:tab w:val="num" w:pos="643" w:leader="none"/>
      </w:tabs>
    </w:pPr>
  </w:style>
  <w:style w:type="paragraph" w:styleId="1321">
    <w:name w:val="List Bullet 3"/>
    <w:basedOn w:val="1143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1322">
    <w:name w:val="List Bullet 4"/>
    <w:basedOn w:val="1143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1323">
    <w:name w:val="List Bullet 5"/>
    <w:basedOn w:val="1143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1324">
    <w:name w:val="List Number"/>
    <w:basedOn w:val="1143"/>
    <w:uiPriority w:val="99"/>
    <w:pPr>
      <w:ind w:left="360" w:hanging="360"/>
      <w:tabs>
        <w:tab w:val="num" w:pos="1492" w:leader="none"/>
      </w:tabs>
    </w:pPr>
  </w:style>
  <w:style w:type="paragraph" w:styleId="1325">
    <w:name w:val="List Number 2"/>
    <w:basedOn w:val="1143"/>
    <w:uiPriority w:val="99"/>
    <w:pPr>
      <w:ind w:left="643" w:hanging="360"/>
      <w:tabs>
        <w:tab w:val="num" w:pos="643" w:leader="none"/>
      </w:tabs>
    </w:pPr>
  </w:style>
  <w:style w:type="paragraph" w:styleId="1326">
    <w:name w:val="List Number 3"/>
    <w:basedOn w:val="1143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1327">
    <w:name w:val="List Number 4"/>
    <w:basedOn w:val="1143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1328">
    <w:name w:val="List Number 5"/>
    <w:basedOn w:val="1143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1329">
    <w:name w:val="Title"/>
    <w:basedOn w:val="1143"/>
    <w:link w:val="1330"/>
    <w:uiPriority w:val="99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1330" w:customStyle="1">
    <w:name w:val="Заголовок Знак"/>
    <w:basedOn w:val="1153"/>
    <w:link w:val="1329"/>
    <w:uiPriority w:val="99"/>
    <w:rPr>
      <w:rFonts w:ascii="Cambria" w:hAnsi="Cambria" w:eastAsia="Times New Roman" w:cs="Cambria"/>
      <w:b/>
      <w:bCs/>
      <w:sz w:val="32"/>
      <w:szCs w:val="32"/>
      <w:lang w:eastAsia="ru-RU"/>
    </w:rPr>
  </w:style>
  <w:style w:type="paragraph" w:styleId="1331">
    <w:name w:val="Subtitle"/>
    <w:basedOn w:val="1143"/>
    <w:link w:val="1332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1332" w:customStyle="1">
    <w:name w:val="Подзаголовок Знак"/>
    <w:basedOn w:val="1153"/>
    <w:link w:val="1331"/>
    <w:uiPriority w:val="99"/>
    <w:rPr>
      <w:rFonts w:ascii="Cambria" w:hAnsi="Cambria" w:eastAsia="Times New Roman" w:cs="Cambria"/>
      <w:sz w:val="24"/>
      <w:szCs w:val="24"/>
      <w:lang w:eastAsia="ru-RU"/>
    </w:rPr>
  </w:style>
  <w:style w:type="paragraph" w:styleId="1333">
    <w:name w:val="toc 3"/>
    <w:basedOn w:val="1143"/>
    <w:next w:val="1143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1334">
    <w:name w:val="toc 1"/>
    <w:basedOn w:val="1143"/>
    <w:next w:val="1143"/>
    <w:uiPriority w:val="39"/>
    <w:pPr>
      <w:jc w:val="left"/>
      <w:spacing w:before="120" w:after="120"/>
      <w:tabs>
        <w:tab w:val="left" w:pos="709" w:leader="none"/>
        <w:tab w:val="right" w:pos="10195" w:leader="dot"/>
      </w:tabs>
    </w:pPr>
    <w:rPr>
      <w:b/>
      <w:bCs/>
      <w:caps/>
      <w:sz w:val="20"/>
      <w:szCs w:val="20"/>
    </w:rPr>
  </w:style>
  <w:style w:type="paragraph" w:styleId="1335">
    <w:name w:val="toc 2"/>
    <w:basedOn w:val="1143"/>
    <w:next w:val="1143"/>
    <w:uiPriority w:val="39"/>
    <w:pPr>
      <w:jc w:val="left"/>
      <w:spacing w:after="0"/>
      <w:tabs>
        <w:tab w:val="left" w:pos="960" w:leader="none"/>
        <w:tab w:val="right" w:pos="10195" w:leader="dot"/>
      </w:tabs>
    </w:pPr>
    <w:rPr>
      <w:smallCaps/>
      <w:sz w:val="20"/>
      <w:szCs w:val="20"/>
    </w:rPr>
  </w:style>
  <w:style w:type="paragraph" w:styleId="1336">
    <w:name w:val="Date"/>
    <w:basedOn w:val="1143"/>
    <w:next w:val="1143"/>
    <w:link w:val="1337"/>
    <w:uiPriority w:val="99"/>
  </w:style>
  <w:style w:type="character" w:styleId="1337" w:customStyle="1">
    <w:name w:val="Дата Знак"/>
    <w:basedOn w:val="1153"/>
    <w:link w:val="1336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38">
    <w:name w:val="Body Text"/>
    <w:basedOn w:val="1143"/>
    <w:link w:val="1339"/>
    <w:uiPriority w:val="99"/>
    <w:pPr>
      <w:spacing w:after="120"/>
    </w:pPr>
  </w:style>
  <w:style w:type="character" w:styleId="1339" w:customStyle="1">
    <w:name w:val="Основной текст Знак"/>
    <w:basedOn w:val="1153"/>
    <w:link w:val="133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40">
    <w:name w:val="Body Text Indent 2"/>
    <w:basedOn w:val="1143"/>
    <w:link w:val="1341"/>
    <w:uiPriority w:val="99"/>
    <w:pPr>
      <w:ind w:left="283"/>
      <w:spacing w:after="120" w:line="480" w:lineRule="auto"/>
    </w:pPr>
  </w:style>
  <w:style w:type="character" w:styleId="1341" w:customStyle="1">
    <w:name w:val="Основной текст с отступом 2 Знак"/>
    <w:basedOn w:val="1153"/>
    <w:link w:val="134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42">
    <w:name w:val="Body Text Indent 3"/>
    <w:basedOn w:val="1143"/>
    <w:link w:val="1343"/>
    <w:uiPriority w:val="99"/>
    <w:pPr>
      <w:ind w:left="283"/>
      <w:spacing w:after="120"/>
    </w:pPr>
    <w:rPr>
      <w:sz w:val="16"/>
      <w:szCs w:val="16"/>
    </w:rPr>
  </w:style>
  <w:style w:type="character" w:styleId="1343" w:customStyle="1">
    <w:name w:val="Основной текст с отступом 3 Знак"/>
    <w:basedOn w:val="1153"/>
    <w:link w:val="1342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44">
    <w:name w:val="Header"/>
    <w:basedOn w:val="1143"/>
    <w:link w:val="1345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345" w:customStyle="1">
    <w:name w:val="Верхний колонтитул Знак"/>
    <w:basedOn w:val="1153"/>
    <w:link w:val="134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46">
    <w:name w:val="Block Text"/>
    <w:basedOn w:val="1143"/>
    <w:uiPriority w:val="99"/>
    <w:pPr>
      <w:ind w:left="1440" w:right="1440"/>
      <w:spacing w:after="120"/>
    </w:pPr>
  </w:style>
  <w:style w:type="character" w:styleId="1347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1348">
    <w:name w:val="footnote text"/>
    <w:basedOn w:val="1143"/>
    <w:link w:val="1349"/>
    <w:uiPriority w:val="99"/>
    <w:rPr>
      <w:sz w:val="20"/>
      <w:szCs w:val="20"/>
    </w:rPr>
  </w:style>
  <w:style w:type="character" w:styleId="1349" w:customStyle="1">
    <w:name w:val="Текст сноски Знак"/>
    <w:basedOn w:val="1153"/>
    <w:link w:val="1348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350">
    <w:name w:val="page number"/>
    <w:uiPriority w:val="99"/>
    <w:rPr>
      <w:rFonts w:ascii="Times New Roman" w:hAnsi="Times New Roman" w:cs="Times New Roman"/>
    </w:rPr>
  </w:style>
  <w:style w:type="paragraph" w:styleId="1351">
    <w:name w:val="Footer"/>
    <w:basedOn w:val="1143"/>
    <w:link w:val="1352"/>
    <w:uiPriority w:val="99"/>
    <w:pPr>
      <w:tabs>
        <w:tab w:val="center" w:pos="4153" w:leader="none"/>
        <w:tab w:val="right" w:pos="8306" w:leader="none"/>
      </w:tabs>
    </w:pPr>
  </w:style>
  <w:style w:type="character" w:styleId="1352" w:customStyle="1">
    <w:name w:val="Нижний колонтитул Знак"/>
    <w:basedOn w:val="1153"/>
    <w:link w:val="135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53">
    <w:name w:val="Body Text 3"/>
    <w:basedOn w:val="1143"/>
    <w:link w:val="1354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354" w:customStyle="1">
    <w:name w:val="Основной текст 3 Знак"/>
    <w:basedOn w:val="1153"/>
    <w:link w:val="1353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55">
    <w:name w:val="Plain Text"/>
    <w:basedOn w:val="1143"/>
    <w:link w:val="1356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356" w:customStyle="1">
    <w:name w:val="Текст Знак"/>
    <w:basedOn w:val="1153"/>
    <w:link w:val="1355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1357" w:customStyle="1">
    <w:name w:val="ConsNormal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358">
    <w:name w:val="Normal (Web)"/>
    <w:basedOn w:val="1143"/>
    <w:uiPriority w:val="99"/>
    <w:pPr>
      <w:jc w:val="left"/>
      <w:spacing w:before="100" w:beforeAutospacing="1" w:after="100" w:afterAutospacing="1"/>
    </w:pPr>
  </w:style>
  <w:style w:type="paragraph" w:styleId="1359">
    <w:name w:val="HTML Address"/>
    <w:basedOn w:val="1143"/>
    <w:link w:val="1360"/>
    <w:uiPriority w:val="99"/>
    <w:rPr>
      <w:i/>
      <w:iCs/>
    </w:rPr>
  </w:style>
  <w:style w:type="character" w:styleId="1360" w:customStyle="1">
    <w:name w:val="Адрес HTML Знак"/>
    <w:basedOn w:val="1153"/>
    <w:link w:val="1359"/>
    <w:uiPriority w:val="99"/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1361">
    <w:name w:val="envelope address"/>
    <w:basedOn w:val="1143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362">
    <w:name w:val="HTML Acronym"/>
    <w:basedOn w:val="1153"/>
    <w:uiPriority w:val="99"/>
  </w:style>
  <w:style w:type="character" w:styleId="1363">
    <w:name w:val="Emphasis"/>
    <w:uiPriority w:val="99"/>
    <w:qFormat/>
    <w:rPr>
      <w:i/>
      <w:iCs/>
    </w:rPr>
  </w:style>
  <w:style w:type="character" w:styleId="1364">
    <w:name w:val="Hyperlink"/>
    <w:uiPriority w:val="99"/>
    <w:rPr>
      <w:color w:val="0000ff"/>
      <w:u w:val="single"/>
    </w:rPr>
  </w:style>
  <w:style w:type="paragraph" w:styleId="1365">
    <w:name w:val="Note Heading"/>
    <w:basedOn w:val="1143"/>
    <w:next w:val="1143"/>
    <w:link w:val="1366"/>
    <w:uiPriority w:val="99"/>
  </w:style>
  <w:style w:type="character" w:styleId="1366" w:customStyle="1">
    <w:name w:val="Заголовок записки Знак"/>
    <w:basedOn w:val="1153"/>
    <w:link w:val="136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67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368">
    <w:name w:val="HTML Code"/>
    <w:uiPriority w:val="99"/>
    <w:rPr>
      <w:rFonts w:ascii="Courier New" w:hAnsi="Courier New" w:cs="Courier New"/>
      <w:sz w:val="20"/>
      <w:szCs w:val="20"/>
    </w:rPr>
  </w:style>
  <w:style w:type="paragraph" w:styleId="1369">
    <w:name w:val="Body Text First Indent"/>
    <w:basedOn w:val="1338"/>
    <w:link w:val="1370"/>
    <w:uiPriority w:val="99"/>
    <w:pPr>
      <w:ind w:firstLine="210"/>
    </w:pPr>
  </w:style>
  <w:style w:type="character" w:styleId="1370" w:customStyle="1">
    <w:name w:val="Красная строка Знак"/>
    <w:basedOn w:val="1339"/>
    <w:link w:val="1369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71">
    <w:name w:val="Body Text First Indent 2"/>
    <w:basedOn w:val="1316"/>
    <w:link w:val="1372"/>
    <w:uiPriority w:val="99"/>
    <w:pPr>
      <w:ind w:left="283" w:firstLine="210"/>
      <w:spacing w:before="0" w:after="120"/>
    </w:pPr>
  </w:style>
  <w:style w:type="character" w:styleId="1372" w:customStyle="1">
    <w:name w:val="Красная строка 2 Знак"/>
    <w:basedOn w:val="1318"/>
    <w:link w:val="137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73">
    <w:name w:val="line number"/>
    <w:basedOn w:val="1153"/>
    <w:uiPriority w:val="99"/>
  </w:style>
  <w:style w:type="character" w:styleId="1374">
    <w:name w:val="HTML Sample"/>
    <w:uiPriority w:val="99"/>
    <w:rPr>
      <w:rFonts w:ascii="Courier New" w:hAnsi="Courier New" w:cs="Courier New"/>
    </w:rPr>
  </w:style>
  <w:style w:type="paragraph" w:styleId="1375">
    <w:name w:val="envelope return"/>
    <w:basedOn w:val="1143"/>
    <w:uiPriority w:val="99"/>
    <w:rPr>
      <w:rFonts w:ascii="Arial" w:hAnsi="Arial" w:cs="Arial"/>
      <w:sz w:val="20"/>
      <w:szCs w:val="20"/>
    </w:rPr>
  </w:style>
  <w:style w:type="paragraph" w:styleId="1376">
    <w:name w:val="Normal Indent"/>
    <w:basedOn w:val="1143"/>
    <w:uiPriority w:val="99"/>
    <w:pPr>
      <w:ind w:left="708"/>
    </w:pPr>
  </w:style>
  <w:style w:type="character" w:styleId="1377">
    <w:name w:val="HTML Definition"/>
    <w:uiPriority w:val="99"/>
    <w:rPr>
      <w:i/>
      <w:iCs/>
    </w:rPr>
  </w:style>
  <w:style w:type="character" w:styleId="1378">
    <w:name w:val="HTML Variable"/>
    <w:uiPriority w:val="99"/>
    <w:rPr>
      <w:i/>
      <w:iCs/>
    </w:rPr>
  </w:style>
  <w:style w:type="character" w:styleId="1379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380">
    <w:name w:val="Signature"/>
    <w:basedOn w:val="1143"/>
    <w:link w:val="1381"/>
    <w:uiPriority w:val="99"/>
    <w:pPr>
      <w:ind w:left="4252"/>
    </w:pPr>
  </w:style>
  <w:style w:type="character" w:styleId="1381" w:customStyle="1">
    <w:name w:val="Подпись Знак"/>
    <w:basedOn w:val="1153"/>
    <w:link w:val="138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82">
    <w:name w:val="Salutation"/>
    <w:basedOn w:val="1143"/>
    <w:next w:val="1143"/>
    <w:link w:val="1383"/>
    <w:uiPriority w:val="99"/>
  </w:style>
  <w:style w:type="character" w:styleId="1383" w:customStyle="1">
    <w:name w:val="Приветствие Знак"/>
    <w:basedOn w:val="1153"/>
    <w:link w:val="138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84">
    <w:name w:val="List Continue"/>
    <w:basedOn w:val="1143"/>
    <w:uiPriority w:val="99"/>
    <w:pPr>
      <w:ind w:left="283"/>
      <w:spacing w:after="120"/>
    </w:pPr>
  </w:style>
  <w:style w:type="paragraph" w:styleId="1385">
    <w:name w:val="List Continue 2"/>
    <w:basedOn w:val="1143"/>
    <w:uiPriority w:val="99"/>
    <w:pPr>
      <w:ind w:left="566"/>
      <w:spacing w:after="120"/>
    </w:pPr>
  </w:style>
  <w:style w:type="paragraph" w:styleId="1386">
    <w:name w:val="List Continue 3"/>
    <w:basedOn w:val="1143"/>
    <w:uiPriority w:val="99"/>
    <w:pPr>
      <w:ind w:left="849"/>
      <w:spacing w:after="120"/>
    </w:pPr>
  </w:style>
  <w:style w:type="paragraph" w:styleId="1387">
    <w:name w:val="List Continue 4"/>
    <w:basedOn w:val="1143"/>
    <w:uiPriority w:val="99"/>
    <w:pPr>
      <w:ind w:left="1132"/>
      <w:spacing w:after="120"/>
    </w:pPr>
  </w:style>
  <w:style w:type="paragraph" w:styleId="1388">
    <w:name w:val="List Continue 5"/>
    <w:basedOn w:val="1143"/>
    <w:uiPriority w:val="99"/>
    <w:pPr>
      <w:ind w:left="1415"/>
      <w:spacing w:after="120"/>
    </w:pPr>
  </w:style>
  <w:style w:type="character" w:styleId="1389">
    <w:name w:val="FollowedHyperlink"/>
    <w:uiPriority w:val="99"/>
    <w:rPr>
      <w:color w:val="800080"/>
      <w:u w:val="single"/>
    </w:rPr>
  </w:style>
  <w:style w:type="paragraph" w:styleId="1390">
    <w:name w:val="Closing"/>
    <w:basedOn w:val="1143"/>
    <w:link w:val="1391"/>
    <w:uiPriority w:val="99"/>
    <w:pPr>
      <w:ind w:left="4252"/>
    </w:pPr>
  </w:style>
  <w:style w:type="character" w:styleId="1391" w:customStyle="1">
    <w:name w:val="Прощание Знак"/>
    <w:basedOn w:val="1153"/>
    <w:link w:val="139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92">
    <w:name w:val="List"/>
    <w:basedOn w:val="1143"/>
    <w:uiPriority w:val="99"/>
    <w:pPr>
      <w:ind w:left="283" w:hanging="283"/>
    </w:pPr>
  </w:style>
  <w:style w:type="paragraph" w:styleId="1393">
    <w:name w:val="List 2"/>
    <w:basedOn w:val="1143"/>
    <w:uiPriority w:val="99"/>
    <w:pPr>
      <w:ind w:left="566" w:hanging="283"/>
    </w:pPr>
  </w:style>
  <w:style w:type="paragraph" w:styleId="1394">
    <w:name w:val="List 3"/>
    <w:basedOn w:val="1143"/>
    <w:uiPriority w:val="99"/>
    <w:pPr>
      <w:ind w:left="849" w:hanging="283"/>
    </w:pPr>
  </w:style>
  <w:style w:type="paragraph" w:styleId="1395">
    <w:name w:val="List 4"/>
    <w:basedOn w:val="1143"/>
    <w:uiPriority w:val="99"/>
    <w:pPr>
      <w:ind w:left="1132" w:hanging="283"/>
    </w:pPr>
  </w:style>
  <w:style w:type="paragraph" w:styleId="1396">
    <w:name w:val="List 5"/>
    <w:basedOn w:val="1143"/>
    <w:uiPriority w:val="99"/>
    <w:pPr>
      <w:ind w:left="1415" w:hanging="283"/>
    </w:pPr>
  </w:style>
  <w:style w:type="paragraph" w:styleId="1397">
    <w:name w:val="HTML Preformatted"/>
    <w:basedOn w:val="1143"/>
    <w:link w:val="1398"/>
    <w:uiPriority w:val="99"/>
    <w:rPr>
      <w:rFonts w:ascii="Courier New" w:hAnsi="Courier New" w:cs="Courier New"/>
      <w:sz w:val="20"/>
      <w:szCs w:val="20"/>
    </w:rPr>
  </w:style>
  <w:style w:type="character" w:styleId="1398" w:customStyle="1">
    <w:name w:val="Стандартный HTML Знак"/>
    <w:basedOn w:val="1153"/>
    <w:link w:val="1397"/>
    <w:uiPriority w:val="99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1399">
    <w:name w:val="Strong"/>
    <w:uiPriority w:val="99"/>
    <w:qFormat/>
    <w:rPr>
      <w:b/>
      <w:bCs/>
    </w:rPr>
  </w:style>
  <w:style w:type="character" w:styleId="1400">
    <w:name w:val="HTML Cite"/>
    <w:uiPriority w:val="99"/>
    <w:rPr>
      <w:i/>
      <w:iCs/>
    </w:rPr>
  </w:style>
  <w:style w:type="paragraph" w:styleId="1401">
    <w:name w:val="Message Header"/>
    <w:basedOn w:val="1143"/>
    <w:link w:val="1402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402" w:customStyle="1">
    <w:name w:val="Шапка Знак"/>
    <w:basedOn w:val="1153"/>
    <w:link w:val="1401"/>
    <w:uiPriority w:val="99"/>
    <w:rPr>
      <w:rFonts w:ascii="Cambria" w:hAnsi="Cambria" w:eastAsia="Times New Roman" w:cs="Cambria"/>
      <w:sz w:val="24"/>
      <w:szCs w:val="24"/>
      <w:shd w:val="pct20" w:color="auto" w:fill="auto"/>
      <w:lang w:eastAsia="ru-RU"/>
    </w:rPr>
  </w:style>
  <w:style w:type="paragraph" w:styleId="1403">
    <w:name w:val="E-mail Signature"/>
    <w:basedOn w:val="1143"/>
    <w:link w:val="1404"/>
    <w:uiPriority w:val="99"/>
  </w:style>
  <w:style w:type="character" w:styleId="1404" w:customStyle="1">
    <w:name w:val="Электронная подпись Знак"/>
    <w:basedOn w:val="1153"/>
    <w:link w:val="140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05">
    <w:name w:val="toc 4"/>
    <w:basedOn w:val="1143"/>
    <w:next w:val="1143"/>
    <w:uiPriority w:val="39"/>
    <w:pPr>
      <w:ind w:left="720"/>
      <w:jc w:val="left"/>
      <w:spacing w:after="0"/>
    </w:pPr>
    <w:rPr>
      <w:sz w:val="18"/>
      <w:szCs w:val="18"/>
    </w:rPr>
  </w:style>
  <w:style w:type="paragraph" w:styleId="1406">
    <w:name w:val="toc 5"/>
    <w:basedOn w:val="1143"/>
    <w:next w:val="1143"/>
    <w:uiPriority w:val="39"/>
    <w:pPr>
      <w:ind w:left="960"/>
      <w:jc w:val="left"/>
      <w:spacing w:after="0"/>
    </w:pPr>
    <w:rPr>
      <w:sz w:val="18"/>
      <w:szCs w:val="18"/>
    </w:rPr>
  </w:style>
  <w:style w:type="paragraph" w:styleId="1407">
    <w:name w:val="toc 6"/>
    <w:basedOn w:val="1143"/>
    <w:next w:val="1143"/>
    <w:uiPriority w:val="39"/>
    <w:pPr>
      <w:ind w:left="1200"/>
      <w:jc w:val="left"/>
      <w:spacing w:after="0"/>
    </w:pPr>
    <w:rPr>
      <w:sz w:val="18"/>
      <w:szCs w:val="18"/>
    </w:rPr>
  </w:style>
  <w:style w:type="paragraph" w:styleId="1408">
    <w:name w:val="toc 7"/>
    <w:basedOn w:val="1143"/>
    <w:next w:val="1143"/>
    <w:uiPriority w:val="39"/>
    <w:pPr>
      <w:ind w:left="1440"/>
      <w:jc w:val="left"/>
      <w:spacing w:after="0"/>
    </w:pPr>
    <w:rPr>
      <w:sz w:val="18"/>
      <w:szCs w:val="18"/>
    </w:rPr>
  </w:style>
  <w:style w:type="paragraph" w:styleId="1409">
    <w:name w:val="toc 8"/>
    <w:basedOn w:val="1143"/>
    <w:next w:val="1143"/>
    <w:uiPriority w:val="39"/>
    <w:pPr>
      <w:ind w:left="1680"/>
      <w:jc w:val="left"/>
      <w:spacing w:after="0"/>
    </w:pPr>
    <w:rPr>
      <w:sz w:val="18"/>
      <w:szCs w:val="18"/>
    </w:rPr>
  </w:style>
  <w:style w:type="paragraph" w:styleId="1410">
    <w:name w:val="toc 9"/>
    <w:basedOn w:val="1143"/>
    <w:next w:val="1143"/>
    <w:uiPriority w:val="39"/>
    <w:pPr>
      <w:ind w:left="1920"/>
      <w:jc w:val="left"/>
      <w:spacing w:after="0"/>
    </w:pPr>
    <w:rPr>
      <w:sz w:val="18"/>
      <w:szCs w:val="18"/>
    </w:rPr>
  </w:style>
  <w:style w:type="paragraph" w:styleId="1411" w:customStyle="1">
    <w:name w:val="Стиль1"/>
    <w:basedOn w:val="1143"/>
    <w:pPr>
      <w:numPr>
        <w:ilvl w:val="0"/>
        <w:numId w:val="3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412" w:customStyle="1">
    <w:name w:val="содержание2-1"/>
    <w:basedOn w:val="1146"/>
    <w:next w:val="1143"/>
    <w:uiPriority w:val="99"/>
  </w:style>
  <w:style w:type="paragraph" w:styleId="1413" w:customStyle="1">
    <w:name w:val="Заголовок 2.1"/>
    <w:basedOn w:val="1144"/>
    <w:uiPriority w:val="99"/>
    <w:pPr>
      <w:keepLines/>
      <w:widowControl w:val="off"/>
      <w:suppressLineNumbers/>
    </w:pPr>
    <w:rPr>
      <w:caps/>
    </w:rPr>
  </w:style>
  <w:style w:type="paragraph" w:styleId="1414" w:customStyle="1">
    <w:name w:val="Стиль2"/>
    <w:basedOn w:val="1325"/>
    <w:uiPriority w:val="99"/>
    <w:pPr>
      <w:numPr>
        <w:ilvl w:val="1"/>
        <w:numId w:val="3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415" w:customStyle="1">
    <w:name w:val="Стиль3"/>
    <w:basedOn w:val="1340"/>
    <w:pPr>
      <w:numPr>
        <w:ilvl w:val="2"/>
        <w:numId w:val="3"/>
      </w:numPr>
      <w:spacing w:after="0" w:line="240" w:lineRule="auto"/>
      <w:widowControl w:val="off"/>
    </w:pPr>
  </w:style>
  <w:style w:type="paragraph" w:styleId="1416" w:customStyle="1">
    <w:name w:val="содержание2-11"/>
    <w:basedOn w:val="1143"/>
    <w:uiPriority w:val="99"/>
  </w:style>
  <w:style w:type="character" w:styleId="1417" w:customStyle="1">
    <w:name w:val="Знак Знак1"/>
    <w:uiPriority w:val="99"/>
    <w:rPr>
      <w:sz w:val="24"/>
      <w:szCs w:val="24"/>
      <w:lang w:val="ru-RU" w:eastAsia="ru-RU"/>
    </w:rPr>
  </w:style>
  <w:style w:type="character" w:styleId="1418" w:customStyle="1">
    <w:name w:val="Стиль3 Знак"/>
    <w:uiPriority w:val="99"/>
    <w:rPr>
      <w:sz w:val="24"/>
      <w:szCs w:val="24"/>
      <w:lang w:val="ru-RU" w:eastAsia="ru-RU"/>
    </w:rPr>
  </w:style>
  <w:style w:type="paragraph" w:styleId="1419" w:customStyle="1">
    <w:name w:val="Стиль4"/>
    <w:basedOn w:val="1145"/>
    <w:next w:val="1143"/>
    <w:uiPriority w:val="99"/>
    <w:pPr>
      <w:ind w:firstLine="567"/>
      <w:keepLines/>
      <w:widowControl w:val="off"/>
      <w:suppressLineNumbers/>
    </w:pPr>
  </w:style>
  <w:style w:type="paragraph" w:styleId="1420" w:customStyle="1">
    <w:name w:val="Таблица заголовок"/>
    <w:basedOn w:val="1143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421" w:customStyle="1">
    <w:name w:val="текст таблицы"/>
    <w:basedOn w:val="1143"/>
    <w:uiPriority w:val="99"/>
    <w:pPr>
      <w:ind w:right="-102"/>
      <w:jc w:val="left"/>
      <w:spacing w:before="120" w:after="0"/>
    </w:pPr>
  </w:style>
  <w:style w:type="paragraph" w:styleId="1422" w:customStyle="1">
    <w:name w:val="Пункт Знак"/>
    <w:basedOn w:val="1143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423" w:customStyle="1">
    <w:name w:val="a"/>
    <w:basedOn w:val="1143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424" w:customStyle="1">
    <w:name w:val="Словарная статья"/>
    <w:basedOn w:val="1143"/>
    <w:next w:val="1143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425" w:customStyle="1">
    <w:name w:val="Комментарий пользователя"/>
    <w:basedOn w:val="1143"/>
    <w:next w:val="1143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426" w:customStyle="1">
    <w:name w:val="Стиль3 Знак Знак"/>
    <w:uiPriority w:val="99"/>
    <w:rPr>
      <w:sz w:val="24"/>
      <w:szCs w:val="24"/>
      <w:lang w:val="ru-RU" w:eastAsia="ru-RU"/>
    </w:rPr>
  </w:style>
  <w:style w:type="character" w:styleId="1427" w:customStyle="1">
    <w:name w:val="Текст выноски Знак"/>
    <w:basedOn w:val="1153"/>
    <w:link w:val="1428"/>
    <w:uiPriority w:val="99"/>
    <w:semiHidden/>
    <w:rPr>
      <w:rFonts w:ascii="Times New Roman" w:hAnsi="Times New Roman" w:eastAsia="Times New Roman" w:cs="Times New Roman"/>
      <w:sz w:val="20"/>
      <w:szCs w:val="2"/>
      <w:lang w:eastAsia="ru-RU"/>
    </w:rPr>
  </w:style>
  <w:style w:type="paragraph" w:styleId="1428">
    <w:name w:val="Balloon Text"/>
    <w:basedOn w:val="1143"/>
    <w:link w:val="1427"/>
    <w:uiPriority w:val="99"/>
    <w:semiHidden/>
    <w:rPr>
      <w:sz w:val="20"/>
      <w:szCs w:val="2"/>
    </w:rPr>
  </w:style>
  <w:style w:type="character" w:styleId="1429" w:customStyle="1">
    <w:name w:val="label_body_text_1"/>
    <w:uiPriority w:val="99"/>
  </w:style>
  <w:style w:type="paragraph" w:styleId="1430" w:customStyle="1">
    <w:name w:val="Заголовок 1.Document Header1"/>
    <w:basedOn w:val="1143"/>
    <w:next w:val="1143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431" w:customStyle="1">
    <w:name w:val="ConsPlusNormal"/>
    <w:link w:val="1498"/>
    <w:qFormat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1432" w:customStyle="1">
    <w:name w:val="Знак Знак11"/>
    <w:uiPriority w:val="99"/>
    <w:rPr>
      <w:sz w:val="24"/>
      <w:szCs w:val="24"/>
      <w:lang w:val="ru-RU" w:eastAsia="ru-RU"/>
    </w:rPr>
  </w:style>
  <w:style w:type="character" w:styleId="1433" w:customStyle="1">
    <w:name w:val="Текст примечания Знак"/>
    <w:basedOn w:val="1153"/>
    <w:link w:val="1434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434">
    <w:name w:val="annotation text"/>
    <w:basedOn w:val="1143"/>
    <w:link w:val="1433"/>
    <w:uiPriority w:val="99"/>
    <w:semiHidden/>
    <w:rPr>
      <w:sz w:val="20"/>
      <w:szCs w:val="20"/>
    </w:rPr>
  </w:style>
  <w:style w:type="character" w:styleId="1435" w:customStyle="1">
    <w:name w:val="Тема примечания Знак"/>
    <w:basedOn w:val="1433"/>
    <w:link w:val="1436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436">
    <w:name w:val="annotation subject"/>
    <w:basedOn w:val="1434"/>
    <w:next w:val="1434"/>
    <w:link w:val="1435"/>
    <w:uiPriority w:val="99"/>
    <w:semiHidden/>
    <w:rPr>
      <w:b/>
      <w:bCs/>
    </w:rPr>
  </w:style>
  <w:style w:type="paragraph" w:styleId="1437" w:customStyle="1">
    <w:name w:val="20"/>
    <w:basedOn w:val="1143"/>
    <w:uiPriority w:val="99"/>
    <w:pPr>
      <w:ind w:left="104" w:right="104"/>
      <w:jc w:val="left"/>
      <w:spacing w:before="104" w:after="104"/>
    </w:pPr>
  </w:style>
  <w:style w:type="paragraph" w:styleId="1438" w:customStyle="1">
    <w:name w:val="Пункт"/>
    <w:basedOn w:val="1143"/>
    <w:link w:val="1439"/>
    <w:pPr>
      <w:ind w:left="1404" w:hanging="504"/>
      <w:spacing w:after="0"/>
      <w:tabs>
        <w:tab w:val="num" w:pos="1980" w:leader="none"/>
      </w:tabs>
    </w:pPr>
  </w:style>
  <w:style w:type="character" w:styleId="1439" w:customStyle="1">
    <w:name w:val="Пункт Знак1"/>
    <w:link w:val="1438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40" w:customStyle="1">
    <w:name w:val="Подпункт"/>
    <w:basedOn w:val="1438"/>
    <w:link w:val="1441"/>
    <w:pPr>
      <w:ind w:left="1728" w:hanging="648"/>
      <w:tabs>
        <w:tab w:val="clear" w:pos="1980" w:leader="none"/>
        <w:tab w:val="num" w:pos="2520" w:leader="none"/>
      </w:tabs>
    </w:pPr>
  </w:style>
  <w:style w:type="character" w:styleId="1441" w:customStyle="1">
    <w:name w:val="Подпункт Знак1"/>
    <w:link w:val="144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42" w:customStyle="1">
    <w:name w:val="Схема документа Знак"/>
    <w:basedOn w:val="1153"/>
    <w:link w:val="1443"/>
    <w:uiPriority w:val="99"/>
    <w:semiHidden/>
    <w:rPr>
      <w:rFonts w:ascii="Times New Roman" w:hAnsi="Times New Roman" w:eastAsia="Times New Roman" w:cs="Times New Roman"/>
      <w:sz w:val="2"/>
      <w:szCs w:val="2"/>
      <w:shd w:val="clear" w:color="auto" w:fill="000080"/>
      <w:lang w:eastAsia="ru-RU"/>
    </w:rPr>
  </w:style>
  <w:style w:type="paragraph" w:styleId="1443">
    <w:name w:val="Document Map"/>
    <w:basedOn w:val="1143"/>
    <w:link w:val="1442"/>
    <w:uiPriority w:val="99"/>
    <w:semiHidden/>
    <w:pPr>
      <w:shd w:val="clear" w:color="auto" w:fill="000080"/>
    </w:pPr>
    <w:rPr>
      <w:sz w:val="2"/>
      <w:szCs w:val="2"/>
    </w:rPr>
  </w:style>
  <w:style w:type="paragraph" w:styleId="1444" w:customStyle="1">
    <w:name w:val="Таблица шапка"/>
    <w:basedOn w:val="1143"/>
    <w:link w:val="1445"/>
    <w:pPr>
      <w:ind w:left="57" w:right="57"/>
      <w:jc w:val="left"/>
      <w:keepNext/>
      <w:spacing w:before="40" w:after="40"/>
    </w:pPr>
    <w:rPr>
      <w:sz w:val="18"/>
      <w:szCs w:val="18"/>
    </w:rPr>
  </w:style>
  <w:style w:type="character" w:styleId="1445" w:customStyle="1">
    <w:name w:val="Таблица шапка Знак"/>
    <w:link w:val="1444"/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446" w:customStyle="1">
    <w:name w:val="Таблица текст"/>
    <w:basedOn w:val="1143"/>
    <w:link w:val="1447"/>
    <w:pPr>
      <w:ind w:left="57" w:right="57"/>
      <w:jc w:val="left"/>
      <w:spacing w:before="40" w:after="40"/>
    </w:pPr>
    <w:rPr>
      <w:sz w:val="22"/>
      <w:szCs w:val="22"/>
    </w:rPr>
  </w:style>
  <w:style w:type="character" w:styleId="1447" w:customStyle="1">
    <w:name w:val="Таблица текст Знак"/>
    <w:link w:val="1446"/>
    <w:rPr>
      <w:rFonts w:ascii="Times New Roman" w:hAnsi="Times New Roman" w:eastAsia="Times New Roman" w:cs="Times New Roman"/>
      <w:lang w:eastAsia="ru-RU"/>
    </w:rPr>
  </w:style>
  <w:style w:type="paragraph" w:styleId="1448" w:customStyle="1">
    <w:name w:val="пункт"/>
    <w:basedOn w:val="1143"/>
    <w:uiPriority w:val="99"/>
    <w:pPr>
      <w:numPr>
        <w:ilvl w:val="2"/>
        <w:numId w:val="5"/>
      </w:numPr>
      <w:jc w:val="left"/>
      <w:spacing w:before="60"/>
    </w:pPr>
  </w:style>
  <w:style w:type="character" w:styleId="1449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450" w:customStyle="1">
    <w:name w:val="Обычный1"/>
    <w:uiPriority w:val="9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51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1452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53">
    <w:name w:val="endnote text"/>
    <w:basedOn w:val="1143"/>
    <w:link w:val="1454"/>
    <w:uiPriority w:val="99"/>
    <w:rPr>
      <w:sz w:val="20"/>
      <w:szCs w:val="20"/>
    </w:rPr>
  </w:style>
  <w:style w:type="character" w:styleId="1454" w:customStyle="1">
    <w:name w:val="Текст концевой сноски Знак"/>
    <w:basedOn w:val="1153"/>
    <w:link w:val="1453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455" w:customStyle="1">
    <w:name w:val="Основной текст с отступом11"/>
    <w:basedOn w:val="1143"/>
    <w:uiPriority w:val="99"/>
    <w:pPr>
      <w:ind w:firstLine="851"/>
      <w:spacing w:before="60" w:after="0"/>
    </w:pPr>
  </w:style>
  <w:style w:type="character" w:styleId="1456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457">
    <w:name w:val="List Paragraph"/>
    <w:basedOn w:val="1143"/>
    <w:link w:val="1458"/>
    <w:uiPriority w:val="34"/>
    <w:qFormat/>
    <w:pPr>
      <w:ind w:left="720"/>
      <w:jc w:val="left"/>
      <w:spacing w:after="0"/>
    </w:pPr>
  </w:style>
  <w:style w:type="character" w:styleId="1458" w:customStyle="1">
    <w:name w:val="Абзац списка Знак"/>
    <w:basedOn w:val="1153"/>
    <w:link w:val="1457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59" w:customStyle="1">
    <w:name w:val="f"/>
    <w:basedOn w:val="1153"/>
  </w:style>
  <w:style w:type="character" w:styleId="1460" w:customStyle="1">
    <w:name w:val="r"/>
    <w:basedOn w:val="1153"/>
  </w:style>
  <w:style w:type="paragraph" w:styleId="1461">
    <w:name w:val="Body Text 2"/>
    <w:basedOn w:val="1143"/>
    <w:link w:val="1462"/>
    <w:pPr>
      <w:spacing w:after="120" w:line="480" w:lineRule="auto"/>
    </w:pPr>
  </w:style>
  <w:style w:type="character" w:styleId="1462" w:customStyle="1">
    <w:name w:val="Основной текст 2 Знак"/>
    <w:basedOn w:val="1153"/>
    <w:link w:val="1461"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63">
    <w:name w:val="Table Grid"/>
    <w:basedOn w:val="1154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464" w:customStyle="1">
    <w:name w:val="Iniiaiie oaeno"/>
    <w:basedOn w:val="1143"/>
    <w:uiPriority w:val="99"/>
    <w:pPr>
      <w:jc w:val="center"/>
      <w:spacing w:after="0"/>
    </w:pPr>
    <w:rPr>
      <w:rFonts w:ascii="Arial" w:hAnsi="Arial" w:cs="Arial"/>
    </w:rPr>
  </w:style>
  <w:style w:type="paragraph" w:styleId="1465" w:customStyle="1">
    <w:name w:val="Абзац списка1"/>
    <w:basedOn w:val="1143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466" w:customStyle="1">
    <w:name w:val="Таблицы (моноширинный)"/>
    <w:basedOn w:val="1143"/>
    <w:next w:val="1143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paragraph" w:styleId="1467" w:customStyle="1">
    <w:name w:val="Подподпункт"/>
    <w:basedOn w:val="1440"/>
    <w:link w:val="1468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character" w:styleId="1468" w:customStyle="1">
    <w:name w:val="Подподпункт Знак"/>
    <w:basedOn w:val="1153"/>
    <w:link w:val="1467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469" w:customStyle="1">
    <w:name w:val="Пункт-3"/>
    <w:basedOn w:val="1143"/>
    <w:link w:val="1470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470" w:customStyle="1">
    <w:name w:val="Пункт-3 Знак"/>
    <w:link w:val="1469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1471" w:customStyle="1">
    <w:name w:val="Основной текст (3)_"/>
    <w:basedOn w:val="1153"/>
    <w:link w:val="1472"/>
    <w:rPr>
      <w:b/>
      <w:bCs/>
      <w:shd w:val="clear" w:color="auto" w:fill="ffffff"/>
    </w:rPr>
  </w:style>
  <w:style w:type="paragraph" w:styleId="1472" w:customStyle="1">
    <w:name w:val="Основной текст (3)"/>
    <w:basedOn w:val="1143"/>
    <w:link w:val="1471"/>
    <w:pPr>
      <w:ind w:firstLine="709"/>
      <w:jc w:val="center"/>
      <w:spacing w:after="0" w:line="274" w:lineRule="exact"/>
      <w:shd w:val="clear" w:color="auto" w:fill="ffffff"/>
      <w:widowControl w:val="off"/>
    </w:pPr>
    <w:rPr>
      <w:rFonts w:asciiTheme="minorHAnsi" w:hAnsiTheme="minorHAnsi" w:eastAsiaTheme="minorHAnsi" w:cstheme="minorBidi"/>
      <w:b/>
      <w:bCs/>
      <w:sz w:val="22"/>
      <w:szCs w:val="22"/>
      <w:lang w:eastAsia="en-US"/>
    </w:rPr>
  </w:style>
  <w:style w:type="paragraph" w:styleId="1473" w:customStyle="1">
    <w:name w:val="Default"/>
    <w:link w:val="1502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1474" w:customStyle="1">
    <w:name w:val="Пункт-4"/>
    <w:basedOn w:val="1143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475" w:customStyle="1">
    <w:name w:val="комментарий"/>
    <w:rPr>
      <w:i/>
      <w:u w:val="none"/>
      <w:shd w:val="clear" w:color="auto" w:fill="ffff99"/>
    </w:rPr>
  </w:style>
  <w:style w:type="paragraph" w:styleId="1476" w:customStyle="1">
    <w:name w:val="Ариал"/>
    <w:basedOn w:val="1143"/>
    <w:link w:val="1477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477" w:customStyle="1">
    <w:name w:val="Ариал Знак1"/>
    <w:link w:val="1476"/>
    <w:rPr>
      <w:rFonts w:ascii="Arial" w:hAnsi="Arial" w:eastAsia="Times New Roman" w:cs="Times New Roman"/>
      <w:sz w:val="24"/>
      <w:szCs w:val="20"/>
    </w:rPr>
  </w:style>
  <w:style w:type="paragraph" w:styleId="1478" w:customStyle="1">
    <w:name w:val="Цитата1"/>
    <w:basedOn w:val="1143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479" w:customStyle="1">
    <w:name w:val="Заголовок_1"/>
    <w:basedOn w:val="1143"/>
    <w:uiPriority w:val="99"/>
    <w:pPr>
      <w:numPr>
        <w:ilvl w:val="0"/>
        <w:numId w:val="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480" w:customStyle="1">
    <w:name w:val="Пункт_3"/>
    <w:basedOn w:val="1143"/>
    <w:uiPriority w:val="99"/>
    <w:pPr>
      <w:numPr>
        <w:ilvl w:val="2"/>
        <w:numId w:val="6"/>
      </w:numPr>
      <w:spacing w:after="0"/>
    </w:pPr>
    <w:rPr>
      <w:sz w:val="28"/>
      <w:szCs w:val="28"/>
    </w:rPr>
  </w:style>
  <w:style w:type="paragraph" w:styleId="1481" w:customStyle="1">
    <w:name w:val="Пункт_2"/>
    <w:basedOn w:val="1143"/>
    <w:uiPriority w:val="99"/>
    <w:pPr>
      <w:numPr>
        <w:ilvl w:val="1"/>
        <w:numId w:val="6"/>
      </w:numPr>
      <w:spacing w:after="0"/>
    </w:pPr>
    <w:rPr>
      <w:sz w:val="28"/>
      <w:szCs w:val="20"/>
    </w:rPr>
  </w:style>
  <w:style w:type="paragraph" w:styleId="1482" w:customStyle="1">
    <w:name w:val="Пункт_5"/>
    <w:basedOn w:val="1480"/>
    <w:uiPriority w:val="99"/>
    <w:pPr>
      <w:numPr>
        <w:ilvl w:val="4"/>
      </w:numPr>
    </w:pPr>
  </w:style>
  <w:style w:type="paragraph" w:styleId="1483">
    <w:name w:val="Caption"/>
    <w:basedOn w:val="1143"/>
    <w:next w:val="1143"/>
    <w:link w:val="1175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5b9bd5" w:themeColor="accent1"/>
      <w:sz w:val="18"/>
      <w:szCs w:val="18"/>
      <w:lang w:eastAsia="en-US"/>
    </w:rPr>
  </w:style>
  <w:style w:type="paragraph" w:styleId="1484" w:customStyle="1">
    <w:name w:val="Times 12"/>
    <w:basedOn w:val="1143"/>
    <w:pPr>
      <w:ind w:firstLine="567"/>
      <w:spacing w:after="0"/>
    </w:pPr>
    <w:rPr>
      <w:bCs/>
      <w:szCs w:val="22"/>
    </w:rPr>
  </w:style>
  <w:style w:type="paragraph" w:styleId="1485" w:customStyle="1">
    <w:name w:val="FTN_txt"/>
    <w:basedOn w:val="1143"/>
    <w:pPr>
      <w:numPr>
        <w:ilvl w:val="1"/>
        <w:numId w:val="12"/>
      </w:numPr>
      <w:spacing w:after="0" w:line="288" w:lineRule="auto"/>
      <w:widowControl w:val="off"/>
      <w:tabs>
        <w:tab w:val="left" w:pos="1080" w:leader="none"/>
      </w:tabs>
    </w:pPr>
    <w:rPr>
      <w:rFonts w:eastAsia="Arial Unicode MS"/>
    </w:rPr>
  </w:style>
  <w:style w:type="paragraph" w:styleId="1486" w:customStyle="1">
    <w:name w:val="[Ростех] Простой текст (Без уровня)"/>
    <w:link w:val="1487"/>
    <w:uiPriority w:val="99"/>
    <w:qFormat/>
    <w:pPr>
      <w:jc w:val="both"/>
      <w:spacing w:before="120" w:after="0" w:line="240" w:lineRule="auto"/>
    </w:pPr>
    <w:rPr>
      <w:rFonts w:ascii="Proxima Nova ExCn Rg" w:hAnsi="Proxima Nova ExCn Rg" w:eastAsia="Times New Roman" w:cs="Times New Roman"/>
      <w:sz w:val="28"/>
      <w:szCs w:val="28"/>
      <w:lang w:eastAsia="ru-RU"/>
    </w:rPr>
  </w:style>
  <w:style w:type="character" w:styleId="1487" w:customStyle="1">
    <w:name w:val="[Ростех] Простой текст (Без уровня) Знак"/>
    <w:basedOn w:val="1153"/>
    <w:link w:val="1486"/>
    <w:uiPriority w:val="99"/>
    <w:rPr>
      <w:rFonts w:ascii="Proxima Nova ExCn Rg" w:hAnsi="Proxima Nova ExCn Rg" w:eastAsia="Times New Roman" w:cs="Times New Roman"/>
      <w:sz w:val="28"/>
      <w:szCs w:val="28"/>
      <w:lang w:eastAsia="ru-RU"/>
    </w:rPr>
  </w:style>
  <w:style w:type="paragraph" w:styleId="1488" w:customStyle="1">
    <w:name w:val="[Ростех] Текст Подпункта (Уровень 5)"/>
    <w:link w:val="1489"/>
    <w:uiPriority w:val="99"/>
    <w:qFormat/>
    <w:pPr>
      <w:jc w:val="both"/>
      <w:spacing w:before="120" w:after="0" w:line="240" w:lineRule="auto"/>
      <w:outlineLvl w:val="4"/>
    </w:pPr>
    <w:rPr>
      <w:rFonts w:ascii="Proxima Nova ExCn Rg" w:hAnsi="Proxima Nova ExCn Rg" w:eastAsia="Times New Roman" w:cs="Times New Roman"/>
      <w:sz w:val="28"/>
      <w:szCs w:val="28"/>
      <w:lang w:eastAsia="ru-RU"/>
    </w:rPr>
  </w:style>
  <w:style w:type="character" w:styleId="1489" w:customStyle="1">
    <w:name w:val="[Ростех] Текст Подпункта (Уровень 5) Знак"/>
    <w:basedOn w:val="1153"/>
    <w:link w:val="1488"/>
    <w:uiPriority w:val="99"/>
    <w:qFormat/>
    <w:rPr>
      <w:rFonts w:ascii="Proxima Nova ExCn Rg" w:hAnsi="Proxima Nova ExCn Rg" w:eastAsia="Times New Roman" w:cs="Times New Roman"/>
      <w:sz w:val="28"/>
      <w:szCs w:val="28"/>
      <w:lang w:eastAsia="ru-RU"/>
    </w:rPr>
  </w:style>
  <w:style w:type="paragraph" w:styleId="1490" w:customStyle="1">
    <w:name w:val="[Ростех] Текст Подпункта (следующий абзац) (Уровень 4)"/>
    <w:link w:val="1491"/>
    <w:qFormat/>
    <w:pPr>
      <w:ind w:left="1134"/>
      <w:jc w:val="both"/>
      <w:spacing w:before="120" w:after="0" w:line="240" w:lineRule="auto"/>
      <w:outlineLvl w:val="3"/>
    </w:pPr>
    <w:rPr>
      <w:rFonts w:ascii="Proxima Nova ExCn Rg" w:hAnsi="Proxima Nova ExCn Rg" w:eastAsia="Times New Roman" w:cs="Times New Roman"/>
      <w:sz w:val="28"/>
      <w:szCs w:val="28"/>
      <w:lang w:eastAsia="ru-RU"/>
    </w:rPr>
  </w:style>
  <w:style w:type="character" w:styleId="1491" w:customStyle="1">
    <w:name w:val="[Ростех] Текст Подпункта (следующий абзац) (Уровень 4) Знак"/>
    <w:basedOn w:val="1153"/>
    <w:link w:val="1490"/>
    <w:rPr>
      <w:rFonts w:ascii="Proxima Nova ExCn Rg" w:hAnsi="Proxima Nova ExCn Rg" w:eastAsia="Times New Roman" w:cs="Times New Roman"/>
      <w:sz w:val="28"/>
      <w:szCs w:val="28"/>
      <w:lang w:eastAsia="ru-RU"/>
    </w:rPr>
  </w:style>
  <w:style w:type="paragraph" w:styleId="1492" w:customStyle="1">
    <w:name w:val="Пункт б/н"/>
    <w:basedOn w:val="1143"/>
    <w:pPr>
      <w:ind w:firstLine="567"/>
      <w:spacing w:after="0" w:line="360" w:lineRule="auto"/>
      <w:tabs>
        <w:tab w:val="left" w:pos="1134" w:leader="none"/>
      </w:tabs>
    </w:pPr>
    <w:rPr>
      <w:sz w:val="28"/>
      <w:szCs w:val="20"/>
    </w:rPr>
  </w:style>
  <w:style w:type="paragraph" w:styleId="1493" w:customStyle="1">
    <w:name w:val="Основной текст 22"/>
    <w:basedOn w:val="1143"/>
    <w:pPr>
      <w:ind w:firstLine="567"/>
      <w:jc w:val="left"/>
      <w:spacing w:after="0"/>
    </w:pPr>
    <w:rPr>
      <w:szCs w:val="20"/>
    </w:rPr>
  </w:style>
  <w:style w:type="character" w:styleId="1494">
    <w:name w:val="Placeholder Text"/>
    <w:basedOn w:val="1153"/>
    <w:uiPriority w:val="99"/>
    <w:semiHidden/>
    <w:rPr>
      <w:color w:val="808080"/>
    </w:rPr>
  </w:style>
  <w:style w:type="paragraph" w:styleId="1495" w:customStyle="1">
    <w:name w:val="_Маркер (номер) - с заголовком"/>
    <w:basedOn w:val="1143"/>
    <w:pPr>
      <w:jc w:val="left"/>
      <w:spacing w:before="240" w:line="360" w:lineRule="auto"/>
    </w:pPr>
    <w:rPr>
      <w:b/>
      <w:bCs/>
      <w:szCs w:val="20"/>
    </w:rPr>
  </w:style>
  <w:style w:type="table" w:styleId="1496" w:customStyle="1">
    <w:name w:val="Сетка таблицы1"/>
    <w:basedOn w:val="1154"/>
    <w:next w:val="146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497" w:customStyle="1">
    <w:name w:val="Неразрешенное упоминание1"/>
    <w:basedOn w:val="1153"/>
    <w:uiPriority w:val="99"/>
    <w:semiHidden/>
    <w:unhideWhenUsed/>
    <w:rPr>
      <w:color w:val="605e5c"/>
      <w:shd w:val="clear" w:color="auto" w:fill="e1dfdd"/>
    </w:rPr>
  </w:style>
  <w:style w:type="character" w:styleId="1498" w:customStyle="1">
    <w:name w:val="ConsPlusNormal Знак"/>
    <w:link w:val="1431"/>
    <w:rPr>
      <w:rFonts w:ascii="Arial" w:hAnsi="Arial" w:eastAsia="Times New Roman" w:cs="Arial"/>
      <w:sz w:val="20"/>
      <w:szCs w:val="20"/>
      <w:lang w:eastAsia="ru-RU"/>
    </w:rPr>
  </w:style>
  <w:style w:type="paragraph" w:styleId="1499" w:customStyle="1">
    <w:name w:val="Пункт_4"/>
    <w:basedOn w:val="1143"/>
    <w:link w:val="1500"/>
    <w:uiPriority w:val="99"/>
    <w:pPr>
      <w:spacing w:after="0"/>
    </w:pPr>
    <w:rPr>
      <w:sz w:val="28"/>
      <w:szCs w:val="20"/>
      <w:lang w:eastAsia="ko-KR"/>
    </w:rPr>
  </w:style>
  <w:style w:type="character" w:styleId="1500" w:customStyle="1">
    <w:name w:val="Пункт_4 Знак"/>
    <w:link w:val="1499"/>
    <w:uiPriority w:val="99"/>
    <w:rPr>
      <w:rFonts w:ascii="Times New Roman" w:hAnsi="Times New Roman" w:eastAsia="Times New Roman" w:cs="Times New Roman"/>
      <w:sz w:val="28"/>
      <w:szCs w:val="20"/>
      <w:lang w:eastAsia="ko-KR"/>
    </w:rPr>
  </w:style>
  <w:style w:type="table" w:styleId="1501" w:customStyle="1">
    <w:name w:val="Сетка таблицы2"/>
    <w:basedOn w:val="1154"/>
    <w:next w:val="146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502" w:customStyle="1">
    <w:name w:val="Default Знак"/>
    <w:link w:val="1473"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1503" w:customStyle="1">
    <w:name w:val="Нет"/>
  </w:style>
  <w:style w:type="character" w:styleId="1504" w:customStyle="1">
    <w:name w:val="Hyperlink.0"/>
    <w:basedOn w:val="1503"/>
  </w:style>
  <w:style w:type="character" w:styleId="1505" w:customStyle="1">
    <w:name w:val="Hyperlink.1"/>
    <w:rPr>
      <w:color w:val="0000ff"/>
      <w:u w:val="single"/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http://www.consultant.ru/document/cons_doc_LAW_116964/" TargetMode="External"/><Relationship Id="rId13" Type="http://schemas.openxmlformats.org/officeDocument/2006/relationships/hyperlink" Target="https://zakupki.gov.ru/epz/orderclause/card/common-info.html?orderClauseInfoId=967865" TargetMode="External"/><Relationship Id="rId14" Type="http://schemas.openxmlformats.org/officeDocument/2006/relationships/hyperlink" Target="http://www.consultant.ru/document/cons_doc_LAW_5142/" TargetMode="External"/><Relationship Id="rId15" Type="http://schemas.openxmlformats.org/officeDocument/2006/relationships/hyperlink" Target="https://zakupki.gov.ru/epz/orderclause/card/common-info.html?orderClauseInfoId=829138" TargetMode="External"/><Relationship Id="rId16" Type="http://schemas.openxmlformats.org/officeDocument/2006/relationships/hyperlink" Target="https://www.consultant.ru/document/cons_doc_LAW_421788/?ysclid=lh7gcn0ch0337012251" TargetMode="External"/><Relationship Id="rId17" Type="http://schemas.openxmlformats.org/officeDocument/2006/relationships/hyperlink" Target="https://www.consultant.ru/document/cons_doc_LAW_421788/?ysclid=lh7gd9qdev457426157" TargetMode="External"/><Relationship Id="rId18" Type="http://schemas.openxmlformats.org/officeDocument/2006/relationships/hyperlink" Target="http://www.consultant.ru/document/cons_doc_LAW_116964/" TargetMode="External"/><Relationship Id="rId19" Type="http://schemas.openxmlformats.org/officeDocument/2006/relationships/hyperlink" Target="https://www.consultant.ru/document/cons_doc_LAW_144624/?ysclid=lh7gqoclg7259684790" TargetMode="External"/><Relationship Id="rId20" Type="http://schemas.openxmlformats.org/officeDocument/2006/relationships/hyperlink" Target="https://zakupki.gov.ru/epz/orderclause/card/common-info.html?orderClauseInfoId=967865" TargetMode="External"/><Relationship Id="rId21" Type="http://schemas.openxmlformats.org/officeDocument/2006/relationships/hyperlink" Target="https://www.consultant.ru/document/cons_doc_LAW_494318/92d969e26a4326c5d02fa79b8f9cf4994ee5633b/" TargetMode="External"/><Relationship Id="rId22" Type="http://schemas.openxmlformats.org/officeDocument/2006/relationships/hyperlink" Target="https://www.rosseti-yantar.ru/about/politiks/antimonopolnyy-komplaens/" TargetMode="External"/><Relationship Id="rId23" Type="http://schemas.openxmlformats.org/officeDocument/2006/relationships/hyperlink" Target="file:///\\temp-fs.yantarenergo.ru\ia\&#1059;&#1050;&#1055;\&#1047;&#1040;&#1050;&#1056;&#1067;&#1058;&#1040;&#1071;\&#1058;&#1080;&#1087;&#1086;&#1074;&#1099;&#1077;%20&#1076;&#1086;&#1082;&#1091;&#1084;&#1077;&#1085;&#1090;&#1072;&#1094;&#1080;&#1080;\!&#1057;&#1088;&#1077;&#1076;&#1080;%20&#1074;&#1089;&#1077;&#1093;%202025\www.zakupki.gov.ru" TargetMode="External"/><Relationship Id="rId24" Type="http://schemas.openxmlformats.org/officeDocument/2006/relationships/hyperlink" Target="https://www.consultant.ru/document/cons_doc_LAW_5142/03edc46b2ef855fddfaaa3d77dac1d071ef3dba1/" TargetMode="External"/><Relationship Id="rId25" Type="http://schemas.openxmlformats.org/officeDocument/2006/relationships/hyperlink" Target="https://www.consultant.ru/document/cons_doc_LAW_5142/e8b1dba1c6def4f632470a9857908caf60fec137/" TargetMode="External"/><Relationship Id="rId26" Type="http://schemas.openxmlformats.org/officeDocument/2006/relationships/hyperlink" Target="https://www.consultant.ru/document/cons_doc_LAW_144624/af90cad46f4484d18fa490ef1c9d7a3b2fd3be3b/" TargetMode="External"/><Relationship Id="rId27" Type="http://schemas.openxmlformats.org/officeDocument/2006/relationships/hyperlink" Target="https://www.consultant.ru/document/cons_doc_LAW_494318/92d969e26a4326c5d02fa79b8f9cf4994ee5633b/" TargetMode="External"/><Relationship Id="rId28" Type="http://schemas.openxmlformats.org/officeDocument/2006/relationships/hyperlink" Target="https://www.consultant.ru/document/cons_doc_LAW_494318/92d969e26a4326c5d02fa79b8f9cf4994ee5633b/" TargetMode="External"/><Relationship Id="rId29" Type="http://schemas.openxmlformats.org/officeDocument/2006/relationships/hyperlink" Target="https://www.consultant.ru/document/cons_doc_LAW_5142/03edc46b2ef855fddfaaa3d77dac1d071ef3dba1/" TargetMode="External"/><Relationship Id="rId30" Type="http://schemas.openxmlformats.org/officeDocument/2006/relationships/hyperlink" Target="https://www.consultant.ru/document/cons_doc_LAW_5142/e8b1dba1c6def4f632470a9857908caf60fec137/" TargetMode="External"/><Relationship Id="rId31" Type="http://schemas.openxmlformats.org/officeDocument/2006/relationships/hyperlink" Target="https://www.consultant.ru/document/cons_doc_LAW_144624/af90cad46f4484d18fa490ef1c9d7a3b2fd3be3b/" TargetMode="External"/><Relationship Id="rId32" Type="http://schemas.openxmlformats.org/officeDocument/2006/relationships/hyperlink" Target="https://zakupki.gov.ru/epz/orderclause/card/common-info.html?orderClauseInfoId=967865" TargetMode="External"/><Relationship Id="rId33" Type="http://schemas.openxmlformats.org/officeDocument/2006/relationships/hyperlink" Target="https://www.consultant.ru/document/cons_doc_LAW_494318/92d969e26a4326c5d02fa79b8f9cf4994ee5633b/" TargetMode="External"/><Relationship Id="rId34" Type="http://schemas.openxmlformats.org/officeDocument/2006/relationships/hyperlink" Target="https://www.consultant.ru/document/cons_doc_LAW_494318/92d969e26a4326c5d02fa79b8f9cf4994ee5633b/" TargetMode="External"/><Relationship Id="rId35" Type="http://schemas.openxmlformats.org/officeDocument/2006/relationships/hyperlink" Target="http://Chegolya-AV@Rosseti-Yantar.ru" TargetMode="External"/><Relationship Id="rId36" Type="http://schemas.openxmlformats.org/officeDocument/2006/relationships/hyperlink" Target="http://Arefeva-MA@Rosseti-Yantar.Ru" TargetMode="External"/><Relationship Id="rId37" Type="http://schemas.openxmlformats.org/officeDocument/2006/relationships/hyperlink" Target="file:///C:\Users\&#1040;&#1083;&#1080;&#1085;&#1072;\Downloads\www.zakupki.gov.ru" TargetMode="External"/><Relationship Id="rId38" Type="http://schemas.openxmlformats.org/officeDocument/2006/relationships/hyperlink" Target="https://tender.lot-online.ru" TargetMode="External"/><Relationship Id="rId39" Type="http://schemas.openxmlformats.org/officeDocument/2006/relationships/hyperlink" Target="http://fssprus.ru/" TargetMode="External"/><Relationship Id="rId40" Type="http://schemas.openxmlformats.org/officeDocument/2006/relationships/hyperlink" Target="http://www.consultant.ru/document/cons_doc_LAW_34661/f61ff313afecf81a91a43d729c2df55c1d6a1533/" TargetMode="External"/><Relationship Id="rId41" Type="http://schemas.openxmlformats.org/officeDocument/2006/relationships/hyperlink" Target="https://zakupki.gov.ru/epz/dishonestsupplier/search/results.html" TargetMode="External"/><Relationship Id="rId42" Type="http://schemas.openxmlformats.org/officeDocument/2006/relationships/hyperlink" Target="https://www.consultant.ru/document/cons_doc_LAW_116964/a3b63487ad7d07ce045a07b0f1e7a9d9b064de95/?ysclid=lgq77170fl163638946" TargetMode="External"/><Relationship Id="rId43" Type="http://schemas.openxmlformats.org/officeDocument/2006/relationships/hyperlink" Target="https://zakupki.gov.ru/epz/dishonestsupplier/search/results.html" TargetMode="External"/><Relationship Id="rId44" Type="http://schemas.openxmlformats.org/officeDocument/2006/relationships/hyperlink" Target="https://www.consultant.ru/document/cons_doc_LAW_144624/af90cad46f4484d18fa490ef1c9d7a3b2fd3be3b/" TargetMode="External"/><Relationship Id="rId45" Type="http://schemas.openxmlformats.org/officeDocument/2006/relationships/hyperlink" Target="https://minjust.gov.ru/ru/activity/directions/998/" TargetMode="External"/><Relationship Id="rId46" Type="http://schemas.openxmlformats.org/officeDocument/2006/relationships/hyperlink" Target="https://www.consultant.ru/document/cons_doc_LAW_421788/?ysclid=lg20fc4h7v470804950" TargetMode="External"/><Relationship Id="rId47" Type="http://schemas.openxmlformats.org/officeDocument/2006/relationships/hyperlink" Target="https://www.consultant.ru/document/cons_doc_LAW_51040/f651879e0acd4680a6fdc29f983536624055cbcc/?ysclid=lh7dhcp1aq961991988" TargetMode="External"/><Relationship Id="rId48" Type="http://schemas.openxmlformats.org/officeDocument/2006/relationships/hyperlink" Target="https://nopriz.ru/" TargetMode="External"/><Relationship Id="rId49" Type="http://schemas.openxmlformats.org/officeDocument/2006/relationships/hyperlink" Target="https://www.consultant.ru/document/cons_doc_LAW_51040/b884020ea7453099ba8bc9ca021b84982cadea7d/?ysclid=lh7dkmbcyr186717647" TargetMode="External"/><Relationship Id="rId50" Type="http://schemas.openxmlformats.org/officeDocument/2006/relationships/hyperlink" Target="https://nopriz.ru/" TargetMode="External"/><Relationship Id="rId51" Type="http://schemas.openxmlformats.org/officeDocument/2006/relationships/hyperlink" Target="https://www.consultant.ru/document/cons_doc_LAW_51040/df32b8231cf067c4d4e864c717eb6b398358b504/?ysclid=lh7dmiyi73943741650" TargetMode="External"/><Relationship Id="rId52" Type="http://schemas.openxmlformats.org/officeDocument/2006/relationships/hyperlink" Target="https://nostroy.ru/" TargetMode="External"/><Relationship Id="rId53" Type="http://schemas.openxmlformats.org/officeDocument/2006/relationships/hyperlink" Target="https://service.nalog.ru/vyp/" TargetMode="External"/><Relationship Id="rId54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yperlink" Target="consultantplus://offline/ref=B7E04B8F5BC345C22463EADCAE81D93CF0C11310A0643D58FEE589F49Ff2C9L" TargetMode="External"/><Relationship Id="rId56" Type="http://schemas.openxmlformats.org/officeDocument/2006/relationships/hyperlink" Target="consultantplus://offline/ref=B7E04B8F5BC345C22463EADCAE81D93CF4CA1215A36F6052F6BC85F6f9C8L" TargetMode="External"/><Relationship Id="rId57" Type="http://schemas.openxmlformats.org/officeDocument/2006/relationships/image" Target="media/image1.emf"/><Relationship Id="rId58" Type="http://schemas.openxmlformats.org/officeDocument/2006/relationships/image" Target="media/media1.svg"/><Relationship Id="rId59" Type="http://schemas.openxmlformats.org/officeDocument/2006/relationships/hyperlink" Target="https://rosseti-yantar.ru/about/antikorruptsionnaya-politika/" TargetMode="External"/><Relationship Id="rId60" Type="http://schemas.openxmlformats.org/officeDocument/2006/relationships/hyperlink" Target="http://www.rosseti.ru/about/contacts/opin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://www.cbr.ru/credit/." TargetMode="External"/><Relationship Id="rId2" Type="http://schemas.openxmlformats.org/officeDocument/2006/relationships/hyperlink" Target="https://www.cbr.ru/analytics/strform/." TargetMode="External"/><Relationship Id="rId3" Type="http://schemas.openxmlformats.org/officeDocument/2006/relationships/hyperlink" Target="http://www.asv.org.ru/guide/bank/" TargetMode="External"/><Relationship Id="rId4" Type="http://schemas.openxmlformats.org/officeDocument/2006/relationships/hyperlink" Target="http://www.cbr.ru/credit/." TargetMode="External"/><Relationship Id="rId5" Type="http://schemas.openxmlformats.org/officeDocument/2006/relationships/hyperlink" Target="http://www.cbr.ru/credit/" TargetMode="External"/><Relationship Id="rId6" Type="http://schemas.openxmlformats.org/officeDocument/2006/relationships/hyperlink" Target="http://www.cbr.ru/credit/." TargetMode="External"/><Relationship Id="rId7" Type="http://schemas.openxmlformats.org/officeDocument/2006/relationships/hyperlink" Target="https://www.cbr.ru/analytics/strform/." TargetMode="External"/><Relationship Id="rId8" Type="http://schemas.openxmlformats.org/officeDocument/2006/relationships/hyperlink" Target="http://www.asv.org.ru/guide/bank/" TargetMode="External"/><Relationship Id="rId9" Type="http://schemas.openxmlformats.org/officeDocument/2006/relationships/hyperlink" Target="http://www.cbr.ru/credit/." TargetMode="External"/><Relationship Id="rId10" Type="http://schemas.openxmlformats.org/officeDocument/2006/relationships/hyperlink" Target="http://www.cbr.ru/credit/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AB41A-65F8-4E24-8689-D664CC78F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Куманев Валентин Олегович</dc:creator>
  <cp:keywords/>
  <dc:description/>
  <cp:lastModifiedBy>chegolya-av</cp:lastModifiedBy>
  <cp:revision>21</cp:revision>
  <dcterms:created xsi:type="dcterms:W3CDTF">2020-03-31T12:58:00Z</dcterms:created>
  <dcterms:modified xsi:type="dcterms:W3CDTF">2026-06-22T11:13:46Z</dcterms:modified>
</cp:coreProperties>
</file>